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8310" w14:textId="77777777" w:rsidR="00DD6D9F" w:rsidRPr="006D25C3" w:rsidRDefault="00DD6D9F" w:rsidP="009E07DA">
      <w:pPr>
        <w:spacing w:after="0"/>
        <w:ind w:right="0"/>
        <w:rPr>
          <w:rFonts w:cstheme="minorHAnsi"/>
          <w:sz w:val="20"/>
          <w:szCs w:val="20"/>
        </w:rPr>
      </w:pPr>
    </w:p>
    <w:p w14:paraId="274E000A" w14:textId="3A0B12D1" w:rsidR="00E663A7" w:rsidRPr="006D25C3" w:rsidRDefault="007A79B7" w:rsidP="00E663A7">
      <w:pPr>
        <w:spacing w:after="0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>Patrick Jones</w:t>
      </w:r>
      <w:r w:rsidRPr="006D25C3">
        <w:rPr>
          <w:rFonts w:cstheme="minorHAnsi"/>
          <w:sz w:val="20"/>
          <w:szCs w:val="20"/>
        </w:rPr>
        <w:tab/>
      </w:r>
      <w:r w:rsidRPr="006D25C3">
        <w:rPr>
          <w:rFonts w:cstheme="minorHAnsi"/>
          <w:sz w:val="20"/>
          <w:szCs w:val="20"/>
        </w:rPr>
        <w:tab/>
      </w:r>
      <w:r w:rsidRPr="006D25C3">
        <w:rPr>
          <w:rFonts w:cstheme="minorHAnsi"/>
          <w:sz w:val="20"/>
          <w:szCs w:val="20"/>
        </w:rPr>
        <w:tab/>
      </w:r>
      <w:r w:rsidRPr="006D25C3">
        <w:rPr>
          <w:rFonts w:cstheme="minorHAnsi"/>
          <w:sz w:val="20"/>
          <w:szCs w:val="20"/>
        </w:rPr>
        <w:tab/>
      </w:r>
      <w:r w:rsidR="009B1A9D" w:rsidRPr="006D25C3">
        <w:rPr>
          <w:rFonts w:cstheme="minorHAnsi"/>
          <w:sz w:val="20"/>
          <w:szCs w:val="20"/>
        </w:rPr>
        <w:tab/>
      </w:r>
      <w:r w:rsidR="009B1A9D" w:rsidRPr="006D25C3">
        <w:rPr>
          <w:rFonts w:cstheme="minorHAnsi"/>
          <w:sz w:val="20"/>
          <w:szCs w:val="20"/>
        </w:rPr>
        <w:tab/>
      </w:r>
      <w:r w:rsidR="009B1A9D" w:rsidRPr="006D25C3">
        <w:rPr>
          <w:rFonts w:cstheme="minorHAnsi"/>
          <w:sz w:val="20"/>
          <w:szCs w:val="20"/>
        </w:rPr>
        <w:tab/>
      </w:r>
      <w:r w:rsidR="009B1A9D" w:rsidRPr="006D25C3">
        <w:rPr>
          <w:rFonts w:cstheme="minorHAnsi"/>
          <w:sz w:val="20"/>
          <w:szCs w:val="20"/>
        </w:rPr>
        <w:tab/>
      </w:r>
      <w:r w:rsidR="009B1A9D" w:rsidRPr="006D25C3">
        <w:rPr>
          <w:rFonts w:cstheme="minorHAnsi"/>
          <w:sz w:val="20"/>
          <w:szCs w:val="20"/>
        </w:rPr>
        <w:tab/>
        <w:t xml:space="preserve">     </w:t>
      </w:r>
      <w:r w:rsidR="009B1A9D" w:rsidRPr="006D25C3">
        <w:rPr>
          <w:rFonts w:cstheme="minorHAnsi"/>
          <w:b/>
          <w:bCs/>
          <w:sz w:val="20"/>
          <w:szCs w:val="20"/>
        </w:rPr>
        <w:t>BY EMAIL ONLY</w:t>
      </w:r>
    </w:p>
    <w:p w14:paraId="02450E95" w14:textId="77777777" w:rsidR="00E663A7" w:rsidRPr="006D25C3" w:rsidRDefault="00E663A7" w:rsidP="00E663A7">
      <w:pPr>
        <w:spacing w:after="0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 xml:space="preserve">London Borough of Camden </w:t>
      </w:r>
    </w:p>
    <w:p w14:paraId="5F0E19A3" w14:textId="77777777" w:rsidR="00E663A7" w:rsidRPr="006D25C3" w:rsidRDefault="00E663A7" w:rsidP="00E663A7">
      <w:pPr>
        <w:spacing w:after="0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 xml:space="preserve">5 Pancras Square </w:t>
      </w:r>
    </w:p>
    <w:p w14:paraId="344818A0" w14:textId="77777777" w:rsidR="00E663A7" w:rsidRPr="006D25C3" w:rsidRDefault="00E663A7" w:rsidP="00E663A7">
      <w:pPr>
        <w:spacing w:after="0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 xml:space="preserve">London </w:t>
      </w:r>
    </w:p>
    <w:p w14:paraId="1CFAF71F" w14:textId="77777777" w:rsidR="00E663A7" w:rsidRPr="006D25C3" w:rsidRDefault="00E663A7" w:rsidP="00E663A7">
      <w:pPr>
        <w:spacing w:after="0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 xml:space="preserve">WC1H 9JE </w:t>
      </w:r>
    </w:p>
    <w:p w14:paraId="458F910D" w14:textId="3534B3C5" w:rsidR="00706415" w:rsidRPr="006D25C3" w:rsidRDefault="00E663A7" w:rsidP="009E07DA">
      <w:pPr>
        <w:spacing w:after="0" w:line="240" w:lineRule="auto"/>
        <w:ind w:right="0"/>
        <w:rPr>
          <w:sz w:val="20"/>
          <w:szCs w:val="20"/>
        </w:rPr>
      </w:pPr>
      <w:r w:rsidRPr="006D25C3">
        <w:rPr>
          <w:sz w:val="20"/>
          <w:szCs w:val="20"/>
        </w:rPr>
        <w:t>e-mail:</w:t>
      </w:r>
      <w:r w:rsidR="2F0151E4" w:rsidRPr="006D25C3">
        <w:rPr>
          <w:sz w:val="20"/>
          <w:szCs w:val="20"/>
        </w:rPr>
        <w:t xml:space="preserve"> </w:t>
      </w:r>
      <w:hyperlink r:id="rId10" w:history="1">
        <w:r w:rsidR="00E16D4D" w:rsidRPr="006D25C3">
          <w:rPr>
            <w:rStyle w:val="Hyperlink"/>
            <w:sz w:val="20"/>
            <w:szCs w:val="20"/>
          </w:rPr>
          <w:t>Patrick.jones@camden.gov.uk</w:t>
        </w:r>
      </w:hyperlink>
      <w:r w:rsidR="009E07DA" w:rsidRPr="006D25C3">
        <w:rPr>
          <w:sz w:val="20"/>
          <w:szCs w:val="20"/>
        </w:rPr>
        <w:t xml:space="preserve"> </w:t>
      </w:r>
      <w:r w:rsidR="009E07DA" w:rsidRPr="006D25C3">
        <w:rPr>
          <w:sz w:val="20"/>
          <w:szCs w:val="20"/>
        </w:rPr>
        <w:br/>
      </w:r>
      <w:r w:rsidR="00706415" w:rsidRPr="006D25C3">
        <w:rPr>
          <w:sz w:val="20"/>
          <w:szCs w:val="20"/>
        </w:rPr>
        <w:br/>
      </w:r>
      <w:r w:rsidR="00E16D4D" w:rsidRPr="006D25C3">
        <w:rPr>
          <w:sz w:val="20"/>
          <w:szCs w:val="20"/>
        </w:rPr>
        <w:t>February</w:t>
      </w:r>
      <w:r w:rsidR="00706415" w:rsidRPr="006D25C3">
        <w:rPr>
          <w:sz w:val="20"/>
          <w:szCs w:val="20"/>
        </w:rPr>
        <w:t xml:space="preserve"> 2023</w:t>
      </w:r>
    </w:p>
    <w:p w14:paraId="6DFA8AB0" w14:textId="77777777" w:rsidR="00706415" w:rsidRPr="006D25C3" w:rsidRDefault="00706415" w:rsidP="00E663A7">
      <w:pPr>
        <w:spacing w:after="0" w:line="240" w:lineRule="auto"/>
        <w:ind w:right="0"/>
        <w:jc w:val="both"/>
        <w:rPr>
          <w:rFonts w:cstheme="minorHAnsi"/>
          <w:sz w:val="20"/>
          <w:szCs w:val="20"/>
        </w:rPr>
      </w:pPr>
    </w:p>
    <w:p w14:paraId="6F922282" w14:textId="00C939B7" w:rsidR="00E663A7" w:rsidRPr="006D25C3" w:rsidRDefault="00345497" w:rsidP="00E663A7">
      <w:pPr>
        <w:spacing w:after="0" w:line="240" w:lineRule="auto"/>
        <w:ind w:right="0"/>
        <w:jc w:val="both"/>
        <w:rPr>
          <w:rFonts w:cstheme="minorHAnsi"/>
          <w:sz w:val="20"/>
          <w:szCs w:val="20"/>
        </w:rPr>
      </w:pPr>
      <w:r w:rsidRPr="006D25C3">
        <w:rPr>
          <w:rFonts w:cstheme="minorHAnsi"/>
          <w:sz w:val="20"/>
          <w:szCs w:val="20"/>
        </w:rPr>
        <w:t>Dear</w:t>
      </w:r>
      <w:r w:rsidR="00E16D4D" w:rsidRPr="006D25C3">
        <w:rPr>
          <w:rFonts w:cstheme="minorHAnsi"/>
          <w:sz w:val="20"/>
          <w:szCs w:val="20"/>
        </w:rPr>
        <w:t xml:space="preserve"> Patrick</w:t>
      </w:r>
    </w:p>
    <w:p w14:paraId="5442D414" w14:textId="77777777" w:rsidR="00E663A7" w:rsidRPr="006D25C3" w:rsidRDefault="00E663A7" w:rsidP="00E663A7">
      <w:pPr>
        <w:pStyle w:val="Heading1"/>
        <w:spacing w:after="0" w:line="240" w:lineRule="auto"/>
        <w:ind w:righ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0" w:name="Title"/>
    </w:p>
    <w:p w14:paraId="22CEF10A" w14:textId="0A13200E" w:rsidR="00E663A7" w:rsidRPr="006D25C3" w:rsidRDefault="00E16D4D" w:rsidP="00E663A7">
      <w:pPr>
        <w:pStyle w:val="Heading1"/>
        <w:spacing w:after="0" w:line="24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6D25C3">
        <w:rPr>
          <w:rFonts w:asciiTheme="minorHAnsi" w:hAnsiTheme="minorHAnsi" w:cstheme="minorHAnsi"/>
          <w:sz w:val="20"/>
          <w:szCs w:val="20"/>
        </w:rPr>
        <w:t xml:space="preserve">RE </w:t>
      </w:r>
      <w:r w:rsidR="00341423" w:rsidRPr="006D25C3">
        <w:rPr>
          <w:rFonts w:asciiTheme="minorHAnsi" w:hAnsiTheme="minorHAnsi" w:cstheme="minorHAnsi"/>
          <w:sz w:val="20"/>
          <w:szCs w:val="20"/>
        </w:rPr>
        <w:t xml:space="preserve">Camden </w:t>
      </w:r>
      <w:r w:rsidRPr="006D25C3">
        <w:rPr>
          <w:rFonts w:asciiTheme="minorHAnsi" w:hAnsiTheme="minorHAnsi" w:cstheme="minorHAnsi"/>
          <w:sz w:val="20"/>
          <w:szCs w:val="20"/>
        </w:rPr>
        <w:t>Affordable Workspace Strategy</w:t>
      </w:r>
    </w:p>
    <w:bookmarkEnd w:id="0"/>
    <w:p w14:paraId="165FAD90" w14:textId="77777777" w:rsidR="00E663A7" w:rsidRPr="006D25C3" w:rsidRDefault="00E663A7" w:rsidP="00E663A7">
      <w:pPr>
        <w:spacing w:after="0" w:line="240" w:lineRule="auto"/>
        <w:ind w:right="0"/>
        <w:jc w:val="both"/>
        <w:rPr>
          <w:rFonts w:cstheme="minorHAnsi"/>
          <w:sz w:val="20"/>
          <w:szCs w:val="20"/>
        </w:rPr>
      </w:pPr>
    </w:p>
    <w:p w14:paraId="0E8DB3B3" w14:textId="5F12F6FA" w:rsidR="00E663A7" w:rsidRPr="006D25C3" w:rsidRDefault="00E663A7" w:rsidP="00E663A7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  <w:sz w:val="20"/>
          <w:szCs w:val="20"/>
        </w:rPr>
      </w:pPr>
      <w:r w:rsidRPr="006D25C3">
        <w:rPr>
          <w:rFonts w:cstheme="minorHAnsi"/>
          <w:color w:val="000000"/>
          <w:sz w:val="20"/>
          <w:szCs w:val="20"/>
        </w:rPr>
        <w:t>We write on behalf of the London Property Alliance</w:t>
      </w:r>
      <w:r w:rsidR="00281099" w:rsidRPr="006D25C3">
        <w:rPr>
          <w:rFonts w:cstheme="minorHAnsi"/>
          <w:color w:val="000000"/>
          <w:sz w:val="20"/>
          <w:szCs w:val="20"/>
        </w:rPr>
        <w:t xml:space="preserve"> (LPA)</w:t>
      </w:r>
      <w:r w:rsidR="00C15BFD" w:rsidRPr="006D25C3">
        <w:rPr>
          <w:rFonts w:cstheme="minorHAnsi"/>
          <w:color w:val="000000"/>
          <w:sz w:val="20"/>
          <w:szCs w:val="20"/>
        </w:rPr>
        <w:t>,</w:t>
      </w:r>
      <w:r w:rsidR="007B7B65" w:rsidRPr="006D25C3">
        <w:rPr>
          <w:rFonts w:cstheme="minorHAnsi"/>
          <w:color w:val="000000"/>
          <w:sz w:val="20"/>
          <w:szCs w:val="20"/>
        </w:rPr>
        <w:t xml:space="preserve"> </w:t>
      </w:r>
      <w:r w:rsidRPr="006D25C3">
        <w:rPr>
          <w:rFonts w:cstheme="minorHAnsi"/>
          <w:color w:val="000000"/>
          <w:sz w:val="20"/>
          <w:szCs w:val="20"/>
        </w:rPr>
        <w:t>in respect</w:t>
      </w:r>
      <w:r w:rsidR="005C1876" w:rsidRPr="006D25C3">
        <w:rPr>
          <w:rFonts w:cstheme="minorHAnsi"/>
          <w:color w:val="000000"/>
          <w:sz w:val="20"/>
          <w:szCs w:val="20"/>
        </w:rPr>
        <w:t xml:space="preserve"> of the</w:t>
      </w:r>
      <w:r w:rsidR="00406FA5" w:rsidRPr="006D25C3">
        <w:rPr>
          <w:rFonts w:cstheme="minorHAnsi"/>
          <w:color w:val="000000"/>
          <w:sz w:val="20"/>
          <w:szCs w:val="20"/>
        </w:rPr>
        <w:t xml:space="preserve"> final draft of the</w:t>
      </w:r>
      <w:r w:rsidR="005C1876" w:rsidRPr="006D25C3">
        <w:rPr>
          <w:rFonts w:cstheme="minorHAnsi"/>
          <w:color w:val="000000"/>
          <w:sz w:val="20"/>
          <w:szCs w:val="20"/>
        </w:rPr>
        <w:t xml:space="preserve"> Affordable Workspace Strategy</w:t>
      </w:r>
      <w:r w:rsidR="00A45C9D" w:rsidRPr="006D25C3">
        <w:rPr>
          <w:rFonts w:cstheme="minorHAnsi"/>
          <w:color w:val="000000"/>
          <w:sz w:val="20"/>
          <w:szCs w:val="20"/>
        </w:rPr>
        <w:t>.</w:t>
      </w:r>
      <w:r w:rsidR="00281099" w:rsidRPr="006D25C3">
        <w:rPr>
          <w:rFonts w:cstheme="minorHAnsi"/>
          <w:color w:val="000000"/>
          <w:sz w:val="20"/>
          <w:szCs w:val="20"/>
        </w:rPr>
        <w:t xml:space="preserve"> This document comprises a summary of feedback </w:t>
      </w:r>
      <w:r w:rsidR="00E408B6" w:rsidRPr="006D25C3">
        <w:rPr>
          <w:rFonts w:cstheme="minorHAnsi"/>
          <w:color w:val="000000"/>
          <w:sz w:val="20"/>
          <w:szCs w:val="20"/>
        </w:rPr>
        <w:t>in relation to this draft.</w:t>
      </w:r>
    </w:p>
    <w:p w14:paraId="6D337FDD" w14:textId="77777777" w:rsidR="00E663A7" w:rsidRPr="006D25C3" w:rsidRDefault="00E663A7" w:rsidP="00E663A7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  <w:sz w:val="20"/>
          <w:szCs w:val="20"/>
        </w:rPr>
      </w:pPr>
    </w:p>
    <w:p w14:paraId="5267A94C" w14:textId="096644DB" w:rsidR="002B5620" w:rsidRPr="006D25C3" w:rsidRDefault="00E663A7" w:rsidP="00E663A7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  <w:sz w:val="20"/>
          <w:szCs w:val="20"/>
        </w:rPr>
      </w:pPr>
      <w:r w:rsidRPr="006D25C3">
        <w:rPr>
          <w:rFonts w:cstheme="minorHAnsi"/>
          <w:color w:val="000000"/>
          <w:sz w:val="20"/>
          <w:szCs w:val="20"/>
        </w:rPr>
        <w:t xml:space="preserve">The London Property Alliance (LPA) </w:t>
      </w:r>
      <w:r w:rsidR="009B1A9D" w:rsidRPr="006D25C3">
        <w:rPr>
          <w:rFonts w:cstheme="minorHAnsi"/>
          <w:color w:val="000000"/>
          <w:sz w:val="20"/>
          <w:szCs w:val="20"/>
        </w:rPr>
        <w:t xml:space="preserve">is a not-for-profit membership body </w:t>
      </w:r>
      <w:r w:rsidRPr="006D25C3">
        <w:rPr>
          <w:rFonts w:cstheme="minorHAnsi"/>
          <w:color w:val="000000"/>
          <w:sz w:val="20"/>
          <w:szCs w:val="20"/>
        </w:rPr>
        <w:t>bring</w:t>
      </w:r>
      <w:r w:rsidR="009B1A9D" w:rsidRPr="006D25C3">
        <w:rPr>
          <w:rFonts w:cstheme="minorHAnsi"/>
          <w:color w:val="000000"/>
          <w:sz w:val="20"/>
          <w:szCs w:val="20"/>
        </w:rPr>
        <w:t xml:space="preserve">ing together leading developers, owners, </w:t>
      </w:r>
      <w:proofErr w:type="gramStart"/>
      <w:r w:rsidR="009B1A9D" w:rsidRPr="006D25C3">
        <w:rPr>
          <w:rFonts w:cstheme="minorHAnsi"/>
          <w:color w:val="000000"/>
          <w:sz w:val="20"/>
          <w:szCs w:val="20"/>
        </w:rPr>
        <w:t>investors</w:t>
      </w:r>
      <w:proofErr w:type="gramEnd"/>
      <w:r w:rsidR="009B1A9D" w:rsidRPr="006D25C3">
        <w:rPr>
          <w:rFonts w:cstheme="minorHAnsi"/>
          <w:color w:val="000000"/>
          <w:sz w:val="20"/>
          <w:szCs w:val="20"/>
        </w:rPr>
        <w:t xml:space="preserve"> and related property professions across central London’s Commercial Activity Zone</w:t>
      </w:r>
      <w:r w:rsidR="00A45C9D" w:rsidRPr="006D25C3">
        <w:rPr>
          <w:rFonts w:cstheme="minorHAnsi"/>
          <w:color w:val="000000"/>
          <w:sz w:val="20"/>
          <w:szCs w:val="20"/>
        </w:rPr>
        <w:t xml:space="preserve"> (CAZ)</w:t>
      </w:r>
      <w:r w:rsidR="00A00B76" w:rsidRPr="006D25C3">
        <w:rPr>
          <w:rFonts w:cstheme="minorHAnsi"/>
          <w:color w:val="000000"/>
          <w:sz w:val="20"/>
          <w:szCs w:val="20"/>
        </w:rPr>
        <w:t xml:space="preserve">, </w:t>
      </w:r>
      <w:r w:rsidRPr="006D25C3">
        <w:rPr>
          <w:rFonts w:cstheme="minorHAnsi"/>
          <w:color w:val="000000"/>
          <w:sz w:val="20"/>
          <w:szCs w:val="20"/>
        </w:rPr>
        <w:t>provid</w:t>
      </w:r>
      <w:r w:rsidR="00A00B76" w:rsidRPr="006D25C3">
        <w:rPr>
          <w:rFonts w:cstheme="minorHAnsi"/>
          <w:color w:val="000000"/>
          <w:sz w:val="20"/>
          <w:szCs w:val="20"/>
        </w:rPr>
        <w:t>ing</w:t>
      </w:r>
      <w:r w:rsidRPr="006D25C3">
        <w:rPr>
          <w:rFonts w:cstheme="minorHAnsi"/>
          <w:color w:val="000000"/>
          <w:sz w:val="20"/>
          <w:szCs w:val="20"/>
        </w:rPr>
        <w:t xml:space="preserve"> a unified voice </w:t>
      </w:r>
      <w:r w:rsidR="00A00B76" w:rsidRPr="006D25C3">
        <w:rPr>
          <w:rFonts w:cstheme="minorHAnsi"/>
          <w:color w:val="000000"/>
          <w:sz w:val="20"/>
          <w:szCs w:val="20"/>
        </w:rPr>
        <w:t xml:space="preserve">for the built environment. </w:t>
      </w:r>
      <w:r w:rsidR="007B7B65" w:rsidRPr="006D25C3">
        <w:rPr>
          <w:rFonts w:cstheme="minorHAnsi"/>
          <w:color w:val="000000"/>
          <w:sz w:val="20"/>
          <w:szCs w:val="20"/>
        </w:rPr>
        <w:t xml:space="preserve">The London Property Alliance includes a </w:t>
      </w:r>
      <w:r w:rsidR="00A45C9D" w:rsidRPr="006D25C3">
        <w:rPr>
          <w:rFonts w:cstheme="minorHAnsi"/>
          <w:color w:val="000000"/>
          <w:sz w:val="20"/>
          <w:szCs w:val="20"/>
        </w:rPr>
        <w:t>Camden Working Group</w:t>
      </w:r>
      <w:r w:rsidR="007B7B65" w:rsidRPr="006D25C3">
        <w:rPr>
          <w:rFonts w:cstheme="minorHAnsi"/>
          <w:color w:val="000000"/>
          <w:sz w:val="20"/>
          <w:szCs w:val="20"/>
        </w:rPr>
        <w:t xml:space="preserve"> of key landowners and developers in Camden and a Knowledge Quarter Liaison Group of those members most active in the Knowledge Quarter Innovation District </w:t>
      </w:r>
      <w:r w:rsidR="002B5620" w:rsidRPr="006D25C3">
        <w:rPr>
          <w:rFonts w:cstheme="minorHAnsi"/>
          <w:color w:val="000000"/>
          <w:sz w:val="20"/>
          <w:szCs w:val="20"/>
        </w:rPr>
        <w:t>whose members comprise the following</w:t>
      </w:r>
      <w:r w:rsidR="00E408B6" w:rsidRPr="006D25C3">
        <w:rPr>
          <w:rFonts w:cstheme="minorHAnsi"/>
          <w:color w:val="000000"/>
          <w:sz w:val="20"/>
          <w:szCs w:val="20"/>
        </w:rPr>
        <w:t>:</w:t>
      </w:r>
    </w:p>
    <w:p w14:paraId="616761D0" w14:textId="77777777" w:rsidR="002B5620" w:rsidRPr="006D25C3" w:rsidRDefault="002B5620" w:rsidP="00E663A7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9032" w:type="dxa"/>
        <w:tblBorders>
          <w:top w:val="single" w:sz="4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2B5620" w:rsidRPr="006D25C3" w14:paraId="4A5B47D1" w14:textId="77777777" w:rsidTr="00CC2241">
        <w:trPr>
          <w:trHeight w:val="3887"/>
        </w:trPr>
        <w:tc>
          <w:tcPr>
            <w:tcW w:w="9032" w:type="dxa"/>
          </w:tcPr>
          <w:p w14:paraId="05B5A967" w14:textId="77777777" w:rsidR="00CC2241" w:rsidRPr="006D25C3" w:rsidRDefault="00CC2241" w:rsidP="002B5620">
            <w:pPr>
              <w:spacing w:after="0" w:line="240" w:lineRule="auto"/>
              <w:ind w:right="0"/>
              <w:jc w:val="both"/>
              <w:rPr>
                <w:rFonts w:cstheme="minorHAnsi"/>
                <w:b/>
                <w:bCs/>
                <w:noProof/>
                <w:sz w:val="20"/>
                <w:szCs w:val="20"/>
                <w:u w:val="single"/>
              </w:rPr>
            </w:pPr>
          </w:p>
          <w:p w14:paraId="125DC530" w14:textId="60CE2C5D" w:rsidR="002B5620" w:rsidRPr="006D25C3" w:rsidRDefault="002B5620" w:rsidP="002B5620">
            <w:pPr>
              <w:spacing w:after="0" w:line="240" w:lineRule="auto"/>
              <w:ind w:right="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London Property Alliance: </w:t>
            </w:r>
            <w:r w:rsidR="0029056B"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LPA members of the </w:t>
            </w:r>
            <w:r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Knowledge Quarter </w:t>
            </w:r>
            <w:r w:rsidR="007B7B65"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Liaison </w:t>
            </w:r>
            <w:r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>Group</w:t>
            </w:r>
            <w:r w:rsidR="0029056B" w:rsidRPr="006D25C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and Camden Working Group</w:t>
            </w:r>
          </w:p>
          <w:p w14:paraId="32628AD2" w14:textId="3210ADD3" w:rsidR="002B5620" w:rsidRPr="006D25C3" w:rsidRDefault="002B5620" w:rsidP="002B5620">
            <w:pPr>
              <w:spacing w:after="0" w:line="240" w:lineRule="auto"/>
              <w:ind w:right="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4E946A0" w14:textId="725A0359" w:rsidR="002B5620" w:rsidRPr="006D25C3" w:rsidRDefault="002B5620" w:rsidP="006D6938">
            <w:pPr>
              <w:spacing w:after="0" w:line="276" w:lineRule="auto"/>
              <w:ind w:right="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Argent </w:t>
            </w:r>
            <w:r w:rsidRPr="006D25C3">
              <w:rPr>
                <w:rFonts w:cstheme="minorHAnsi"/>
                <w:sz w:val="20"/>
                <w:szCs w:val="20"/>
              </w:rPr>
              <w:t>-</w:t>
            </w: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D25C3">
              <w:rPr>
                <w:rFonts w:cstheme="minorHAnsi"/>
                <w:sz w:val="20"/>
                <w:szCs w:val="20"/>
              </w:rPr>
              <w:t>Robert Evans/Alexandra Woolmore</w:t>
            </w:r>
          </w:p>
          <w:p w14:paraId="744B86EA" w14:textId="1ECE3DDA" w:rsidR="002B5620" w:rsidRPr="006D25C3" w:rsidRDefault="002B5620" w:rsidP="006D6938">
            <w:pPr>
              <w:spacing w:after="0" w:line="276" w:lineRule="auto"/>
              <w:ind w:righ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British Land </w:t>
            </w:r>
            <w:r w:rsidRPr="006D25C3">
              <w:rPr>
                <w:rFonts w:cstheme="minorHAnsi"/>
                <w:sz w:val="20"/>
                <w:szCs w:val="20"/>
              </w:rPr>
              <w:t>-</w:t>
            </w: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D6D9F" w:rsidRPr="006D25C3">
              <w:rPr>
                <w:rFonts w:cstheme="minorHAnsi"/>
                <w:sz w:val="20"/>
                <w:szCs w:val="20"/>
              </w:rPr>
              <w:t>Michael Meadows</w:t>
            </w:r>
          </w:p>
          <w:p w14:paraId="50844B18" w14:textId="441F7B09" w:rsidR="002B5620" w:rsidRPr="006D25C3" w:rsidRDefault="002B5620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Derwent London</w:t>
            </w:r>
            <w:r w:rsidR="00445392" w:rsidRPr="006D25C3">
              <w:rPr>
                <w:rFonts w:cstheme="minorHAnsi"/>
                <w:sz w:val="20"/>
                <w:szCs w:val="20"/>
              </w:rPr>
              <w:t xml:space="preserve"> – Richard Baldwin</w:t>
            </w:r>
          </w:p>
          <w:p w14:paraId="7E41C1BD" w14:textId="24AA4D50" w:rsidR="002B5620" w:rsidRPr="006D25C3" w:rsidRDefault="00CC2241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Gerald Eve</w:t>
            </w:r>
            <w:r w:rsidRPr="006D25C3">
              <w:rPr>
                <w:rFonts w:cstheme="minorHAnsi"/>
                <w:sz w:val="20"/>
                <w:szCs w:val="20"/>
              </w:rPr>
              <w:t xml:space="preserve"> – Lisa Webb </w:t>
            </w:r>
            <w:r w:rsidR="007B7B65" w:rsidRPr="006D25C3">
              <w:rPr>
                <w:rFonts w:cstheme="minorHAnsi"/>
                <w:sz w:val="20"/>
                <w:szCs w:val="20"/>
              </w:rPr>
              <w:t xml:space="preserve">(Chair) </w:t>
            </w:r>
            <w:r w:rsidRPr="006D25C3">
              <w:rPr>
                <w:rFonts w:cstheme="minorHAnsi"/>
                <w:sz w:val="20"/>
                <w:szCs w:val="20"/>
              </w:rPr>
              <w:t>and Alex Neal</w:t>
            </w:r>
          </w:p>
          <w:p w14:paraId="4D65FBA3" w14:textId="77777777" w:rsidR="00BA198B" w:rsidRPr="006D25C3" w:rsidRDefault="00CC2241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D25C3">
              <w:rPr>
                <w:rFonts w:cstheme="minorHAnsi"/>
                <w:b/>
                <w:bCs/>
                <w:sz w:val="20"/>
                <w:szCs w:val="20"/>
              </w:rPr>
              <w:t>Groveworld</w:t>
            </w:r>
            <w:proofErr w:type="spellEnd"/>
            <w:r w:rsidRPr="006D25C3">
              <w:rPr>
                <w:rFonts w:cstheme="minorHAnsi"/>
                <w:sz w:val="20"/>
                <w:szCs w:val="20"/>
              </w:rPr>
              <w:t xml:space="preserve"> – Ross Jacobson</w:t>
            </w:r>
          </w:p>
          <w:p w14:paraId="3BB270B0" w14:textId="71F8C57A" w:rsidR="002B5620" w:rsidRPr="006D25C3" w:rsidRDefault="00BA198B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JLL </w:t>
            </w:r>
            <w:r w:rsidR="008C7AB7" w:rsidRPr="006D25C3">
              <w:rPr>
                <w:rFonts w:cstheme="minorHAnsi"/>
                <w:sz w:val="20"/>
                <w:szCs w:val="20"/>
              </w:rPr>
              <w:t>–</w:t>
            </w: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C7AB7" w:rsidRPr="006D25C3">
              <w:rPr>
                <w:rFonts w:cstheme="minorHAnsi"/>
                <w:sz w:val="20"/>
                <w:szCs w:val="20"/>
              </w:rPr>
              <w:t>Charles Pinchbeck</w:t>
            </w:r>
          </w:p>
          <w:p w14:paraId="6FBCC8A9" w14:textId="12CF7B02" w:rsidR="007E3257" w:rsidRPr="006D25C3" w:rsidRDefault="007E3257" w:rsidP="006D6938">
            <w:pPr>
              <w:spacing w:after="0" w:line="276" w:lineRule="auto"/>
              <w:ind w:righ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Landsec </w:t>
            </w:r>
            <w:r w:rsidRPr="006D25C3">
              <w:rPr>
                <w:rFonts w:cstheme="minorHAnsi"/>
                <w:sz w:val="20"/>
                <w:szCs w:val="20"/>
              </w:rPr>
              <w:t>–</w:t>
            </w: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D25C3">
              <w:rPr>
                <w:rFonts w:cstheme="minorHAnsi"/>
                <w:sz w:val="20"/>
                <w:szCs w:val="20"/>
              </w:rPr>
              <w:t>Mike Nesbit</w:t>
            </w:r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CCCCA86" w14:textId="51347BB6" w:rsidR="00A672D0" w:rsidRPr="006D25C3" w:rsidRDefault="007761E9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Lendlease</w:t>
            </w:r>
            <w:r w:rsidRPr="006D25C3">
              <w:rPr>
                <w:rFonts w:cstheme="minorHAnsi"/>
                <w:sz w:val="20"/>
                <w:szCs w:val="20"/>
              </w:rPr>
              <w:t xml:space="preserve"> – Phil Gould</w:t>
            </w:r>
            <w:r w:rsidR="0046674D" w:rsidRPr="006D25C3">
              <w:rPr>
                <w:rFonts w:cstheme="minorHAnsi"/>
                <w:sz w:val="20"/>
                <w:szCs w:val="20"/>
              </w:rPr>
              <w:t>/Jenny Sawyer</w:t>
            </w:r>
          </w:p>
          <w:p w14:paraId="1EF58170" w14:textId="678248A6" w:rsidR="007761E9" w:rsidRPr="006D25C3" w:rsidRDefault="00A672D0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7761E9" w:rsidRPr="006D25C3">
              <w:rPr>
                <w:rFonts w:cstheme="minorHAnsi"/>
                <w:b/>
                <w:bCs/>
                <w:sz w:val="20"/>
                <w:szCs w:val="20"/>
              </w:rPr>
              <w:t>oorfields Eye Hospital</w:t>
            </w:r>
            <w:r w:rsidR="007761E9" w:rsidRPr="006D25C3">
              <w:rPr>
                <w:rFonts w:cstheme="minorHAnsi"/>
                <w:sz w:val="20"/>
                <w:szCs w:val="20"/>
              </w:rPr>
              <w:t xml:space="preserve"> – Kieran McDaid</w:t>
            </w:r>
          </w:p>
          <w:p w14:paraId="7573D6EE" w14:textId="05552566" w:rsidR="002B5620" w:rsidRPr="006D25C3" w:rsidRDefault="007761E9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6D25C3">
              <w:rPr>
                <w:rFonts w:cstheme="minorHAnsi"/>
                <w:b/>
                <w:bCs/>
                <w:sz w:val="20"/>
                <w:szCs w:val="20"/>
              </w:rPr>
              <w:t xml:space="preserve">Precis </w:t>
            </w:r>
            <w:r w:rsidRPr="006D25C3">
              <w:rPr>
                <w:rFonts w:cstheme="minorHAnsi"/>
                <w:sz w:val="20"/>
                <w:szCs w:val="20"/>
              </w:rPr>
              <w:t xml:space="preserve"> –</w:t>
            </w:r>
            <w:proofErr w:type="gramEnd"/>
            <w:r w:rsidRPr="006D25C3">
              <w:rPr>
                <w:rFonts w:cstheme="minorHAnsi"/>
                <w:sz w:val="20"/>
                <w:szCs w:val="20"/>
              </w:rPr>
              <w:t xml:space="preserve"> </w:t>
            </w:r>
            <w:r w:rsidR="002B5620" w:rsidRPr="006D25C3">
              <w:rPr>
                <w:rFonts w:cstheme="minorHAnsi"/>
                <w:sz w:val="20"/>
                <w:szCs w:val="20"/>
              </w:rPr>
              <w:t>Faaiza Lalji</w:t>
            </w:r>
          </w:p>
          <w:p w14:paraId="780958ED" w14:textId="0037A50A" w:rsidR="002B5620" w:rsidRPr="006D25C3" w:rsidRDefault="002B5620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Reef Group</w:t>
            </w:r>
            <w:r w:rsidR="00D97DC7" w:rsidRPr="006D25C3">
              <w:rPr>
                <w:rFonts w:cstheme="minorHAnsi"/>
                <w:sz w:val="20"/>
                <w:szCs w:val="20"/>
              </w:rPr>
              <w:t xml:space="preserve"> - Peter Langly-Smith</w:t>
            </w:r>
          </w:p>
          <w:p w14:paraId="71C332DE" w14:textId="59FA05B7" w:rsidR="00281872" w:rsidRPr="006D25C3" w:rsidRDefault="00281872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Stanhope</w:t>
            </w:r>
            <w:r w:rsidRPr="006D25C3">
              <w:rPr>
                <w:rFonts w:cstheme="minorHAnsi"/>
                <w:sz w:val="20"/>
                <w:szCs w:val="20"/>
              </w:rPr>
              <w:t xml:space="preserve"> – </w:t>
            </w:r>
            <w:r w:rsidR="00176818" w:rsidRPr="006D25C3">
              <w:rPr>
                <w:rFonts w:cstheme="minorHAnsi"/>
                <w:sz w:val="20"/>
                <w:szCs w:val="20"/>
              </w:rPr>
              <w:t>Charles Walford</w:t>
            </w:r>
          </w:p>
          <w:p w14:paraId="64D7236F" w14:textId="45A0D515" w:rsidR="000F65AB" w:rsidRPr="006D25C3" w:rsidRDefault="00D17491" w:rsidP="006D6938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  <w:r w:rsidRPr="006D25C3">
              <w:rPr>
                <w:rFonts w:cstheme="minorHAnsi"/>
                <w:b/>
                <w:bCs/>
                <w:sz w:val="20"/>
                <w:szCs w:val="20"/>
              </w:rPr>
              <w:t>St George</w:t>
            </w:r>
            <w:r w:rsidR="00176818" w:rsidRPr="006D25C3">
              <w:rPr>
                <w:rFonts w:cstheme="minorHAnsi"/>
                <w:sz w:val="20"/>
                <w:szCs w:val="20"/>
              </w:rPr>
              <w:t xml:space="preserve"> - Greg Tillotson</w:t>
            </w:r>
            <w:r w:rsidR="0046674D" w:rsidRPr="006D25C3">
              <w:rPr>
                <w:rFonts w:cstheme="minorHAnsi"/>
                <w:sz w:val="20"/>
                <w:szCs w:val="20"/>
              </w:rPr>
              <w:t>/Claire Hammond</w:t>
            </w:r>
          </w:p>
          <w:p w14:paraId="183BD4B1" w14:textId="08E2EB07" w:rsidR="006D6938" w:rsidRPr="006D25C3" w:rsidRDefault="006D6938" w:rsidP="0046674D">
            <w:pPr>
              <w:spacing w:after="0" w:line="276" w:lineRule="auto"/>
              <w:ind w:righ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54B310" w14:textId="77777777" w:rsidR="006D25C3" w:rsidRDefault="00A00B76" w:rsidP="00E408B6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</w:rPr>
      </w:pPr>
      <w:r w:rsidRPr="00DD6D9F">
        <w:rPr>
          <w:rFonts w:cstheme="minorHAnsi"/>
          <w:color w:val="000000"/>
        </w:rPr>
        <w:t xml:space="preserve">  </w:t>
      </w:r>
    </w:p>
    <w:p w14:paraId="284AB6DF" w14:textId="5C4F17E6" w:rsidR="003D7C5D" w:rsidRPr="006D25C3" w:rsidRDefault="00E408B6" w:rsidP="00E408B6">
      <w:pPr>
        <w:tabs>
          <w:tab w:val="clear" w:pos="284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color w:val="000000"/>
        </w:rPr>
      </w:pPr>
      <w:r w:rsidRPr="00E408B6">
        <w:rPr>
          <w:rFonts w:cstheme="minorHAnsi"/>
          <w:b/>
          <w:bCs/>
          <w:color w:val="000000"/>
          <w:sz w:val="20"/>
          <w:szCs w:val="20"/>
        </w:rPr>
        <w:t>Feedback overview</w:t>
      </w:r>
      <w:r w:rsidR="00770449">
        <w:rPr>
          <w:rFonts w:cstheme="minorHAnsi"/>
          <w:b/>
          <w:bCs/>
          <w:color w:val="000000"/>
          <w:sz w:val="20"/>
          <w:szCs w:val="20"/>
        </w:rPr>
        <w:t xml:space="preserve"> &amp; key points</w:t>
      </w:r>
    </w:p>
    <w:p w14:paraId="58EEDB63" w14:textId="77777777" w:rsidR="009478ED" w:rsidRDefault="009478ED" w:rsidP="009478ED">
      <w:pPr>
        <w:pStyle w:val="ListParagraph"/>
        <w:rPr>
          <w:sz w:val="20"/>
          <w:szCs w:val="20"/>
        </w:rPr>
      </w:pPr>
    </w:p>
    <w:p w14:paraId="08645B32" w14:textId="6985C363" w:rsidR="00D7720D" w:rsidRPr="00376A87" w:rsidRDefault="0000214A" w:rsidP="00D7720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478ED">
        <w:rPr>
          <w:sz w:val="20"/>
          <w:szCs w:val="20"/>
          <w:u w:val="single"/>
        </w:rPr>
        <w:t xml:space="preserve">Welcome </w:t>
      </w:r>
      <w:r w:rsidR="009478ED" w:rsidRPr="009478ED">
        <w:rPr>
          <w:sz w:val="20"/>
          <w:szCs w:val="20"/>
          <w:u w:val="single"/>
        </w:rPr>
        <w:t>flexibility</w:t>
      </w:r>
      <w:r w:rsidRPr="009478ED">
        <w:rPr>
          <w:sz w:val="20"/>
          <w:szCs w:val="20"/>
          <w:u w:val="single"/>
        </w:rPr>
        <w:t>:</w:t>
      </w:r>
      <w:r w:rsidR="00D7720D">
        <w:rPr>
          <w:sz w:val="20"/>
          <w:szCs w:val="20"/>
          <w:u w:val="single"/>
        </w:rPr>
        <w:t xml:space="preserve"> </w:t>
      </w:r>
      <w:r w:rsidR="00D7720D">
        <w:rPr>
          <w:sz w:val="20"/>
          <w:szCs w:val="20"/>
        </w:rPr>
        <w:t xml:space="preserve"> This strategy seems</w:t>
      </w:r>
      <w:r w:rsidR="005E334D">
        <w:rPr>
          <w:sz w:val="20"/>
          <w:szCs w:val="20"/>
        </w:rPr>
        <w:t xml:space="preserve"> flexible,</w:t>
      </w:r>
      <w:r w:rsidR="00376A87">
        <w:rPr>
          <w:sz w:val="20"/>
          <w:szCs w:val="20"/>
        </w:rPr>
        <w:t xml:space="preserve"> </w:t>
      </w:r>
      <w:proofErr w:type="gramStart"/>
      <w:r w:rsidR="00376A87">
        <w:rPr>
          <w:sz w:val="20"/>
          <w:szCs w:val="20"/>
        </w:rPr>
        <w:t>holistic</w:t>
      </w:r>
      <w:proofErr w:type="gramEnd"/>
      <w:r w:rsidR="00376A87">
        <w:rPr>
          <w:sz w:val="20"/>
          <w:szCs w:val="20"/>
        </w:rPr>
        <w:t xml:space="preserve"> and</w:t>
      </w:r>
      <w:r w:rsidR="00D7720D">
        <w:rPr>
          <w:sz w:val="20"/>
          <w:szCs w:val="20"/>
        </w:rPr>
        <w:t xml:space="preserve"> well rounded</w:t>
      </w:r>
      <w:r w:rsidR="00376A87">
        <w:rPr>
          <w:sz w:val="20"/>
          <w:szCs w:val="20"/>
        </w:rPr>
        <w:t>. Th</w:t>
      </w:r>
      <w:r w:rsidR="006D25C3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4D1DA1" w:rsidRPr="00776DFC">
        <w:rPr>
          <w:sz w:val="20"/>
          <w:szCs w:val="20"/>
        </w:rPr>
        <w:t>S106 approach</w:t>
      </w:r>
      <w:r w:rsidR="006D25C3">
        <w:rPr>
          <w:sz w:val="20"/>
          <w:szCs w:val="20"/>
        </w:rPr>
        <w:t xml:space="preserve"> outlined</w:t>
      </w:r>
      <w:r w:rsidR="00F209C1">
        <w:rPr>
          <w:sz w:val="20"/>
          <w:szCs w:val="20"/>
        </w:rPr>
        <w:t xml:space="preserve"> and</w:t>
      </w:r>
      <w:r w:rsidR="004D1DA1" w:rsidRPr="00776DFC">
        <w:rPr>
          <w:sz w:val="20"/>
          <w:szCs w:val="20"/>
        </w:rPr>
        <w:t xml:space="preserve"> based on hierarchy of priorities with a flexible site-by-site approach</w:t>
      </w:r>
      <w:r w:rsidR="00776DFC">
        <w:rPr>
          <w:sz w:val="20"/>
          <w:szCs w:val="20"/>
        </w:rPr>
        <w:t xml:space="preserve"> is</w:t>
      </w:r>
      <w:r w:rsidR="004D1DA1" w:rsidRPr="00776DFC">
        <w:rPr>
          <w:sz w:val="20"/>
          <w:szCs w:val="20"/>
        </w:rPr>
        <w:t xml:space="preserve"> welcome</w:t>
      </w:r>
      <w:r w:rsidR="00376A87">
        <w:rPr>
          <w:sz w:val="20"/>
          <w:szCs w:val="20"/>
        </w:rPr>
        <w:t xml:space="preserve"> but we are keen to see how</w:t>
      </w:r>
      <w:r w:rsidR="00776DFC">
        <w:rPr>
          <w:sz w:val="20"/>
          <w:szCs w:val="20"/>
        </w:rPr>
        <w:t xml:space="preserve"> </w:t>
      </w:r>
      <w:r w:rsidR="00376A87">
        <w:rPr>
          <w:sz w:val="20"/>
          <w:szCs w:val="20"/>
        </w:rPr>
        <w:t>this f</w:t>
      </w:r>
      <w:r w:rsidR="00776DFC" w:rsidRPr="00776DFC">
        <w:rPr>
          <w:sz w:val="20"/>
          <w:szCs w:val="20"/>
        </w:rPr>
        <w:t>lexibility</w:t>
      </w:r>
      <w:r w:rsidR="005E334D">
        <w:rPr>
          <w:sz w:val="20"/>
          <w:szCs w:val="20"/>
        </w:rPr>
        <w:t xml:space="preserve"> will </w:t>
      </w:r>
      <w:r w:rsidR="00776DFC" w:rsidRPr="00776DFC">
        <w:rPr>
          <w:sz w:val="20"/>
          <w:szCs w:val="20"/>
        </w:rPr>
        <w:t>flow through to policy and guidance</w:t>
      </w:r>
      <w:r w:rsidR="00776DFC">
        <w:rPr>
          <w:sz w:val="20"/>
          <w:szCs w:val="20"/>
        </w:rPr>
        <w:t>.</w:t>
      </w:r>
      <w:r w:rsidR="009478ED">
        <w:rPr>
          <w:sz w:val="20"/>
          <w:szCs w:val="20"/>
        </w:rPr>
        <w:br/>
      </w:r>
    </w:p>
    <w:p w14:paraId="28744635" w14:textId="4CB4EB8A" w:rsidR="00C5025E" w:rsidRPr="00954E91" w:rsidRDefault="00D334FD" w:rsidP="00954E91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478ED">
        <w:rPr>
          <w:sz w:val="20"/>
          <w:szCs w:val="20"/>
          <w:u w:val="single"/>
        </w:rPr>
        <w:t>Viability testing and pressures:</w:t>
      </w:r>
      <w:r w:rsidR="009478ED">
        <w:rPr>
          <w:sz w:val="20"/>
          <w:szCs w:val="20"/>
        </w:rPr>
        <w:t xml:space="preserve"> </w:t>
      </w:r>
      <w:r w:rsidR="00704BD0" w:rsidRPr="00776DFC">
        <w:rPr>
          <w:sz w:val="20"/>
          <w:szCs w:val="20"/>
        </w:rPr>
        <w:t>W</w:t>
      </w:r>
      <w:r w:rsidR="00C5025E" w:rsidRPr="00776DFC">
        <w:rPr>
          <w:sz w:val="20"/>
          <w:szCs w:val="20"/>
        </w:rPr>
        <w:t>e would be interested in seeing the viability testing for th</w:t>
      </w:r>
      <w:r w:rsidR="004363E6">
        <w:rPr>
          <w:sz w:val="20"/>
          <w:szCs w:val="20"/>
        </w:rPr>
        <w:t>is</w:t>
      </w:r>
      <w:r w:rsidR="00C5025E" w:rsidRPr="00776DFC">
        <w:rPr>
          <w:sz w:val="20"/>
          <w:szCs w:val="20"/>
        </w:rPr>
        <w:t xml:space="preserve"> policy in due course</w:t>
      </w:r>
      <w:r w:rsidR="00704BD0" w:rsidRPr="00776DFC">
        <w:rPr>
          <w:sz w:val="20"/>
          <w:szCs w:val="20"/>
        </w:rPr>
        <w:t xml:space="preserve">, </w:t>
      </w:r>
      <w:proofErr w:type="gramStart"/>
      <w:r w:rsidR="00704BD0" w:rsidRPr="00776DFC">
        <w:rPr>
          <w:sz w:val="20"/>
          <w:szCs w:val="20"/>
        </w:rPr>
        <w:t xml:space="preserve">and in particular, </w:t>
      </w:r>
      <w:r w:rsidR="00C5025E" w:rsidRPr="00776DFC">
        <w:rPr>
          <w:sz w:val="20"/>
          <w:szCs w:val="20"/>
        </w:rPr>
        <w:t>it</w:t>
      </w:r>
      <w:proofErr w:type="gramEnd"/>
      <w:r w:rsidR="00C5025E" w:rsidRPr="00776DFC">
        <w:rPr>
          <w:sz w:val="20"/>
          <w:szCs w:val="20"/>
        </w:rPr>
        <w:t xml:space="preserve"> would be good to understand the impact it will have on development viability, especially when considered against the other Council</w:t>
      </w:r>
      <w:r w:rsidR="00704BD0" w:rsidRPr="00776DFC">
        <w:rPr>
          <w:sz w:val="20"/>
          <w:szCs w:val="20"/>
        </w:rPr>
        <w:t>’s</w:t>
      </w:r>
      <w:r w:rsidR="00C5025E" w:rsidRPr="00776DFC">
        <w:rPr>
          <w:sz w:val="20"/>
          <w:szCs w:val="20"/>
        </w:rPr>
        <w:t xml:space="preserve"> s106 priorities (especially affordable </w:t>
      </w:r>
      <w:r w:rsidR="00C5025E" w:rsidRPr="00776DFC">
        <w:rPr>
          <w:sz w:val="20"/>
          <w:szCs w:val="20"/>
        </w:rPr>
        <w:lastRenderedPageBreak/>
        <w:t>housing) as well as CIL. </w:t>
      </w:r>
      <w:r w:rsidR="00C5025E" w:rsidRPr="00954E91">
        <w:rPr>
          <w:sz w:val="20"/>
          <w:szCs w:val="20"/>
        </w:rPr>
        <w:t>This strategy is clearly (and rightl</w:t>
      </w:r>
      <w:r w:rsidR="00DF7D87" w:rsidRPr="00954E91">
        <w:rPr>
          <w:sz w:val="20"/>
          <w:szCs w:val="20"/>
        </w:rPr>
        <w:t>y</w:t>
      </w:r>
      <w:r w:rsidR="00C5025E" w:rsidRPr="00954E91">
        <w:rPr>
          <w:sz w:val="20"/>
          <w:szCs w:val="20"/>
        </w:rPr>
        <w:t>) focussed on securing the right</w:t>
      </w:r>
      <w:r w:rsidR="00DF7D87" w:rsidRPr="00954E91">
        <w:rPr>
          <w:sz w:val="20"/>
          <w:szCs w:val="20"/>
        </w:rPr>
        <w:t xml:space="preserve"> affordable workspace</w:t>
      </w:r>
      <w:r w:rsidR="00C5025E" w:rsidRPr="00954E91">
        <w:rPr>
          <w:sz w:val="20"/>
          <w:szCs w:val="20"/>
        </w:rPr>
        <w:t xml:space="preserve"> opportunities across the borough but doesn’t really consider or acknowledge those competing pressures.   </w:t>
      </w:r>
    </w:p>
    <w:p w14:paraId="7E20EF6D" w14:textId="508E323E" w:rsidR="0087003F" w:rsidRDefault="0087003F" w:rsidP="0087003F">
      <w:pPr>
        <w:pStyle w:val="ListParagraph"/>
        <w:rPr>
          <w:sz w:val="20"/>
          <w:szCs w:val="20"/>
        </w:rPr>
      </w:pPr>
    </w:p>
    <w:p w14:paraId="7A2A41EC" w14:textId="22750EAD" w:rsidR="0087003F" w:rsidRPr="0087003F" w:rsidRDefault="0087003F" w:rsidP="0087003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7003F">
        <w:rPr>
          <w:sz w:val="20"/>
          <w:szCs w:val="20"/>
          <w:u w:val="single"/>
        </w:rPr>
        <w:t xml:space="preserve">Case by case: </w:t>
      </w:r>
      <w:r>
        <w:rPr>
          <w:sz w:val="20"/>
          <w:szCs w:val="20"/>
        </w:rPr>
        <w:t xml:space="preserve">While we welcome </w:t>
      </w:r>
      <w:r w:rsidR="005B7881">
        <w:rPr>
          <w:sz w:val="20"/>
          <w:szCs w:val="20"/>
        </w:rPr>
        <w:t>the recognition that</w:t>
      </w:r>
      <w:r>
        <w:rPr>
          <w:sz w:val="20"/>
          <w:szCs w:val="20"/>
        </w:rPr>
        <w:t xml:space="preserve"> a </w:t>
      </w:r>
      <w:r w:rsidRPr="00776DFC">
        <w:rPr>
          <w:sz w:val="20"/>
          <w:szCs w:val="20"/>
        </w:rPr>
        <w:t xml:space="preserve">‘one size doesn’t fit all’ </w:t>
      </w:r>
      <w:r w:rsidR="005B7881">
        <w:rPr>
          <w:sz w:val="20"/>
          <w:szCs w:val="20"/>
        </w:rPr>
        <w:t xml:space="preserve">approach, </w:t>
      </w:r>
      <w:r w:rsidRPr="00776DFC">
        <w:rPr>
          <w:sz w:val="20"/>
          <w:szCs w:val="20"/>
        </w:rPr>
        <w:t>it</w:t>
      </w:r>
      <w:r w:rsidR="005B7881">
        <w:rPr>
          <w:sz w:val="20"/>
          <w:szCs w:val="20"/>
        </w:rPr>
        <w:t xml:space="preserve"> could be more effective if</w:t>
      </w:r>
      <w:r w:rsidRPr="00776DFC">
        <w:rPr>
          <w:sz w:val="20"/>
          <w:szCs w:val="20"/>
        </w:rPr>
        <w:t xml:space="preserve"> numbers </w:t>
      </w:r>
      <w:r w:rsidR="005B7881">
        <w:rPr>
          <w:sz w:val="20"/>
          <w:szCs w:val="20"/>
        </w:rPr>
        <w:t xml:space="preserve">are replaced with </w:t>
      </w:r>
      <w:r w:rsidRPr="00776DFC">
        <w:rPr>
          <w:sz w:val="20"/>
          <w:szCs w:val="20"/>
        </w:rPr>
        <w:t xml:space="preserve">a working benchmark for significant commercial development schemes and negotiate with developers on a case-by-case basis. As </w:t>
      </w:r>
      <w:r w:rsidR="00026AC7">
        <w:rPr>
          <w:sz w:val="20"/>
          <w:szCs w:val="20"/>
        </w:rPr>
        <w:t>previously</w:t>
      </w:r>
      <w:r w:rsidRPr="00776DFC">
        <w:rPr>
          <w:sz w:val="20"/>
          <w:szCs w:val="20"/>
        </w:rPr>
        <w:t xml:space="preserve"> mentioned</w:t>
      </w:r>
      <w:r w:rsidR="00954E91">
        <w:rPr>
          <w:sz w:val="20"/>
          <w:szCs w:val="20"/>
        </w:rPr>
        <w:t>,</w:t>
      </w:r>
      <w:r w:rsidRPr="00776DFC">
        <w:rPr>
          <w:sz w:val="20"/>
          <w:szCs w:val="20"/>
        </w:rPr>
        <w:t xml:space="preserve"> this is going to cause issues for viability / deliverability of schemes. </w:t>
      </w:r>
    </w:p>
    <w:p w14:paraId="026BA383" w14:textId="77777777" w:rsidR="00D334FD" w:rsidRPr="00776DFC" w:rsidRDefault="00D334FD" w:rsidP="00D334FD">
      <w:pPr>
        <w:pStyle w:val="ListParagraph"/>
        <w:rPr>
          <w:sz w:val="20"/>
          <w:szCs w:val="20"/>
        </w:rPr>
      </w:pPr>
    </w:p>
    <w:p w14:paraId="3C47B26C" w14:textId="364B5CD5" w:rsidR="00C5025E" w:rsidRDefault="00D334FD" w:rsidP="00C5025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478ED">
        <w:rPr>
          <w:sz w:val="20"/>
          <w:szCs w:val="20"/>
          <w:u w:val="single"/>
        </w:rPr>
        <w:t>Payments in lieu:</w:t>
      </w:r>
      <w:r w:rsidR="009478ED">
        <w:rPr>
          <w:sz w:val="20"/>
          <w:szCs w:val="20"/>
        </w:rPr>
        <w:t xml:space="preserve"> </w:t>
      </w:r>
      <w:r w:rsidR="00C5025E" w:rsidRPr="00776DFC">
        <w:rPr>
          <w:sz w:val="20"/>
          <w:szCs w:val="20"/>
        </w:rPr>
        <w:t>W</w:t>
      </w:r>
      <w:r w:rsidR="00026AC7">
        <w:rPr>
          <w:sz w:val="20"/>
          <w:szCs w:val="20"/>
        </w:rPr>
        <w:t>e w</w:t>
      </w:r>
      <w:r w:rsidR="00C5025E" w:rsidRPr="00776DFC">
        <w:rPr>
          <w:sz w:val="20"/>
          <w:szCs w:val="20"/>
        </w:rPr>
        <w:t xml:space="preserve">elcome the idea of a payment in lieu element to delivering </w:t>
      </w:r>
      <w:r w:rsidR="00B5157D">
        <w:rPr>
          <w:sz w:val="20"/>
          <w:szCs w:val="20"/>
        </w:rPr>
        <w:t>affordable workspace</w:t>
      </w:r>
      <w:r w:rsidR="00C5025E" w:rsidRPr="00776DFC">
        <w:rPr>
          <w:sz w:val="20"/>
          <w:szCs w:val="20"/>
        </w:rPr>
        <w:t xml:space="preserve"> as part of new development (appreciate this is just commitment to explore it at this stage).  Not all sites may be suitable to accommodate</w:t>
      </w:r>
      <w:r w:rsidR="00B5157D">
        <w:rPr>
          <w:sz w:val="20"/>
          <w:szCs w:val="20"/>
        </w:rPr>
        <w:t xml:space="preserve"> affordable workspace</w:t>
      </w:r>
      <w:r w:rsidR="00C5025E" w:rsidRPr="00776DFC">
        <w:rPr>
          <w:sz w:val="20"/>
          <w:szCs w:val="20"/>
        </w:rPr>
        <w:t xml:space="preserve"> on site and therefore payment in lieu could help Camden deliver some </w:t>
      </w:r>
      <w:proofErr w:type="gramStart"/>
      <w:r w:rsidR="00C5025E" w:rsidRPr="00776DFC">
        <w:rPr>
          <w:sz w:val="20"/>
          <w:szCs w:val="20"/>
        </w:rPr>
        <w:t>really great</w:t>
      </w:r>
      <w:proofErr w:type="gramEnd"/>
      <w:r w:rsidR="00C5025E" w:rsidRPr="00776DFC">
        <w:rPr>
          <w:sz w:val="20"/>
          <w:szCs w:val="20"/>
        </w:rPr>
        <w:t xml:space="preserve"> </w:t>
      </w:r>
      <w:r w:rsidR="003C5EC1">
        <w:rPr>
          <w:sz w:val="20"/>
          <w:szCs w:val="20"/>
        </w:rPr>
        <w:t xml:space="preserve">affordable workspace </w:t>
      </w:r>
      <w:r w:rsidR="00C5025E" w:rsidRPr="00776DFC">
        <w:rPr>
          <w:sz w:val="20"/>
          <w:szCs w:val="20"/>
        </w:rPr>
        <w:t>(</w:t>
      </w:r>
      <w:proofErr w:type="spellStart"/>
      <w:r w:rsidR="00C5025E" w:rsidRPr="00776DFC">
        <w:rPr>
          <w:sz w:val="20"/>
          <w:szCs w:val="20"/>
        </w:rPr>
        <w:t>e</w:t>
      </w:r>
      <w:r w:rsidR="003C5EC1">
        <w:rPr>
          <w:sz w:val="20"/>
          <w:szCs w:val="20"/>
        </w:rPr>
        <w:t>.</w:t>
      </w:r>
      <w:r w:rsidR="00C5025E" w:rsidRPr="00776DFC">
        <w:rPr>
          <w:sz w:val="20"/>
          <w:szCs w:val="20"/>
        </w:rPr>
        <w:t>g</w:t>
      </w:r>
      <w:proofErr w:type="spellEnd"/>
      <w:r w:rsidR="00C5025E" w:rsidRPr="00776DFC">
        <w:rPr>
          <w:sz w:val="20"/>
          <w:szCs w:val="20"/>
        </w:rPr>
        <w:t xml:space="preserve"> using </w:t>
      </w:r>
      <w:r w:rsidR="003C5EC1">
        <w:rPr>
          <w:sz w:val="20"/>
          <w:szCs w:val="20"/>
        </w:rPr>
        <w:t>Camden</w:t>
      </w:r>
      <w:r w:rsidR="00C5025E" w:rsidRPr="00776DFC">
        <w:rPr>
          <w:sz w:val="20"/>
          <w:szCs w:val="20"/>
        </w:rPr>
        <w:t xml:space="preserve"> assets) as opposed to lots of small token offers in new developments. </w:t>
      </w:r>
    </w:p>
    <w:p w14:paraId="27862B4B" w14:textId="77777777" w:rsidR="003C5EC1" w:rsidRPr="00776DFC" w:rsidRDefault="003C5EC1" w:rsidP="003C5EC1">
      <w:pPr>
        <w:pStyle w:val="ListParagraph"/>
        <w:rPr>
          <w:sz w:val="20"/>
          <w:szCs w:val="20"/>
        </w:rPr>
      </w:pPr>
    </w:p>
    <w:p w14:paraId="5E6B5E05" w14:textId="60254136" w:rsidR="00776DFC" w:rsidRPr="00776DFC" w:rsidRDefault="002F25EB" w:rsidP="00776DF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C5EC1">
        <w:rPr>
          <w:sz w:val="20"/>
          <w:szCs w:val="20"/>
          <w:u w:val="single"/>
        </w:rPr>
        <w:t>Use classes:</w:t>
      </w:r>
      <w:r>
        <w:rPr>
          <w:sz w:val="20"/>
          <w:szCs w:val="20"/>
        </w:rPr>
        <w:t xml:space="preserve"> </w:t>
      </w:r>
      <w:r w:rsidR="00C5025E" w:rsidRPr="00776DFC">
        <w:rPr>
          <w:sz w:val="20"/>
          <w:szCs w:val="20"/>
        </w:rPr>
        <w:t xml:space="preserve">Given that the proposed definition of </w:t>
      </w:r>
      <w:r w:rsidR="003C5EC1">
        <w:rPr>
          <w:sz w:val="20"/>
          <w:szCs w:val="20"/>
        </w:rPr>
        <w:t xml:space="preserve">affordable workspace </w:t>
      </w:r>
      <w:r w:rsidR="00C5025E" w:rsidRPr="00776DFC">
        <w:rPr>
          <w:sz w:val="20"/>
          <w:szCs w:val="20"/>
        </w:rPr>
        <w:t xml:space="preserve">includes references to social and cultural development, would be good to get some clarity on which Use Classes </w:t>
      </w:r>
      <w:r w:rsidR="003C5EC1">
        <w:rPr>
          <w:sz w:val="20"/>
          <w:szCs w:val="20"/>
        </w:rPr>
        <w:t>Camden</w:t>
      </w:r>
      <w:r w:rsidR="00C5025E" w:rsidRPr="00776DFC">
        <w:rPr>
          <w:sz w:val="20"/>
          <w:szCs w:val="20"/>
        </w:rPr>
        <w:t xml:space="preserve"> expect</w:t>
      </w:r>
      <w:r w:rsidR="003C5EC1">
        <w:rPr>
          <w:sz w:val="20"/>
          <w:szCs w:val="20"/>
        </w:rPr>
        <w:t>s</w:t>
      </w:r>
      <w:r w:rsidR="00C5025E" w:rsidRPr="00776DFC">
        <w:rPr>
          <w:sz w:val="20"/>
          <w:szCs w:val="20"/>
        </w:rPr>
        <w:t xml:space="preserve"> to see affordable workspace comprise. It </w:t>
      </w:r>
      <w:r w:rsidR="003C5EC1">
        <w:rPr>
          <w:sz w:val="20"/>
          <w:szCs w:val="20"/>
        </w:rPr>
        <w:t>appears</w:t>
      </w:r>
      <w:r w:rsidR="00C5025E" w:rsidRPr="00776DFC">
        <w:rPr>
          <w:sz w:val="20"/>
          <w:szCs w:val="20"/>
        </w:rPr>
        <w:t xml:space="preserve"> to be going beyond just ‘employment’ uses. </w:t>
      </w:r>
      <w:r w:rsidR="003C5EC1">
        <w:rPr>
          <w:sz w:val="20"/>
          <w:szCs w:val="20"/>
        </w:rPr>
        <w:br/>
      </w:r>
    </w:p>
    <w:p w14:paraId="5A8449FD" w14:textId="5C789363" w:rsidR="0087003F" w:rsidRDefault="002F25EB" w:rsidP="00776DF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C5EC1">
        <w:rPr>
          <w:sz w:val="20"/>
          <w:szCs w:val="20"/>
          <w:u w:val="single"/>
        </w:rPr>
        <w:t>Evidence base:</w:t>
      </w:r>
      <w:r>
        <w:rPr>
          <w:sz w:val="20"/>
          <w:szCs w:val="20"/>
        </w:rPr>
        <w:t xml:space="preserve"> </w:t>
      </w:r>
      <w:r w:rsidR="003C5EC1">
        <w:rPr>
          <w:sz w:val="20"/>
          <w:szCs w:val="20"/>
        </w:rPr>
        <w:t xml:space="preserve">Would be good to see the </w:t>
      </w:r>
      <w:r w:rsidR="00776DFC" w:rsidRPr="00776DFC">
        <w:rPr>
          <w:sz w:val="20"/>
          <w:szCs w:val="20"/>
        </w:rPr>
        <w:t>evidence</w:t>
      </w:r>
      <w:r w:rsidR="003C5EC1">
        <w:rPr>
          <w:sz w:val="20"/>
          <w:szCs w:val="20"/>
        </w:rPr>
        <w:t xml:space="preserve"> underpinning the policy</w:t>
      </w:r>
      <w:r w:rsidR="0087003F">
        <w:rPr>
          <w:sz w:val="20"/>
          <w:szCs w:val="20"/>
        </w:rPr>
        <w:t xml:space="preserve">. </w:t>
      </w:r>
      <w:r w:rsidR="00776DFC" w:rsidRPr="00776DFC">
        <w:rPr>
          <w:sz w:val="20"/>
          <w:szCs w:val="20"/>
        </w:rPr>
        <w:t xml:space="preserve"> </w:t>
      </w:r>
      <w:r w:rsidR="0087003F">
        <w:rPr>
          <w:sz w:val="20"/>
          <w:szCs w:val="20"/>
        </w:rPr>
        <w:t>E</w:t>
      </w:r>
      <w:r w:rsidR="00776DFC" w:rsidRPr="00776DFC">
        <w:rPr>
          <w:sz w:val="20"/>
          <w:szCs w:val="20"/>
        </w:rPr>
        <w:t>xpectations a</w:t>
      </w:r>
      <w:r w:rsidR="0087003F">
        <w:rPr>
          <w:sz w:val="20"/>
          <w:szCs w:val="20"/>
        </w:rPr>
        <w:t>round</w:t>
      </w:r>
      <w:r w:rsidR="00776DFC" w:rsidRPr="00776DFC">
        <w:rPr>
          <w:sz w:val="20"/>
          <w:szCs w:val="20"/>
        </w:rPr>
        <w:t xml:space="preserve"> quantum of space and rent reduction</w:t>
      </w:r>
      <w:r w:rsidR="0087003F">
        <w:rPr>
          <w:sz w:val="20"/>
          <w:szCs w:val="20"/>
        </w:rPr>
        <w:t xml:space="preserve"> seem high,</w:t>
      </w:r>
      <w:r w:rsidR="00776DFC" w:rsidRPr="00776DFC">
        <w:rPr>
          <w:sz w:val="20"/>
          <w:szCs w:val="20"/>
        </w:rPr>
        <w:t xml:space="preserve"> so it would be good to see the evidence</w:t>
      </w:r>
      <w:r w:rsidR="0087003F">
        <w:rPr>
          <w:sz w:val="20"/>
          <w:szCs w:val="20"/>
        </w:rPr>
        <w:t xml:space="preserve"> for this</w:t>
      </w:r>
      <w:r w:rsidR="00776DFC" w:rsidRPr="00776DFC">
        <w:rPr>
          <w:sz w:val="20"/>
          <w:szCs w:val="20"/>
        </w:rPr>
        <w:t>.</w:t>
      </w:r>
      <w:r w:rsidR="00B83E9D">
        <w:rPr>
          <w:sz w:val="20"/>
          <w:szCs w:val="20"/>
        </w:rPr>
        <w:br/>
      </w:r>
    </w:p>
    <w:p w14:paraId="7D5783EF" w14:textId="11997271" w:rsidR="00B83E9D" w:rsidRPr="00776DFC" w:rsidRDefault="00B83E9D" w:rsidP="00B83E9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CF2145">
        <w:rPr>
          <w:sz w:val="20"/>
          <w:szCs w:val="20"/>
          <w:u w:val="single"/>
        </w:rPr>
        <w:t>Workspace providers:</w:t>
      </w:r>
      <w:r>
        <w:rPr>
          <w:sz w:val="20"/>
          <w:szCs w:val="20"/>
        </w:rPr>
        <w:t xml:space="preserve"> Can there be more flexibility </w:t>
      </w:r>
      <w:r w:rsidRPr="00776DFC">
        <w:rPr>
          <w:sz w:val="20"/>
          <w:szCs w:val="20"/>
        </w:rPr>
        <w:t>on the workspace provider list</w:t>
      </w:r>
      <w:r>
        <w:rPr>
          <w:sz w:val="20"/>
          <w:szCs w:val="20"/>
        </w:rPr>
        <w:t xml:space="preserve"> as outlined</w:t>
      </w:r>
      <w:r w:rsidR="003C1CAF">
        <w:rPr>
          <w:sz w:val="20"/>
          <w:szCs w:val="20"/>
        </w:rPr>
        <w:t xml:space="preserve"> </w:t>
      </w:r>
      <w:r>
        <w:rPr>
          <w:sz w:val="20"/>
          <w:szCs w:val="20"/>
        </w:rPr>
        <w:t>previous</w:t>
      </w:r>
      <w:r w:rsidR="003C1CAF">
        <w:rPr>
          <w:sz w:val="20"/>
          <w:szCs w:val="20"/>
        </w:rPr>
        <w:t>ly</w:t>
      </w:r>
      <w:r>
        <w:rPr>
          <w:sz w:val="20"/>
          <w:szCs w:val="20"/>
        </w:rPr>
        <w:t>?</w:t>
      </w:r>
    </w:p>
    <w:p w14:paraId="414FECCC" w14:textId="144EBA45" w:rsidR="00776DFC" w:rsidRPr="00B83E9D" w:rsidRDefault="00776DFC" w:rsidP="00B83E9D">
      <w:pPr>
        <w:pStyle w:val="ListParagraph"/>
        <w:rPr>
          <w:sz w:val="20"/>
          <w:szCs w:val="20"/>
        </w:rPr>
      </w:pPr>
      <w:r w:rsidRPr="00B83E9D">
        <w:rPr>
          <w:sz w:val="20"/>
          <w:szCs w:val="20"/>
        </w:rPr>
        <w:t xml:space="preserve"> </w:t>
      </w:r>
    </w:p>
    <w:p w14:paraId="409586D5" w14:textId="73010E05" w:rsidR="00816FA5" w:rsidRPr="00816FA5" w:rsidRDefault="005B7881" w:rsidP="00816FA5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16FA5">
        <w:rPr>
          <w:sz w:val="20"/>
          <w:szCs w:val="20"/>
          <w:u w:val="single"/>
        </w:rPr>
        <w:t>B</w:t>
      </w:r>
      <w:r w:rsidR="009478ED" w:rsidRPr="00816FA5">
        <w:rPr>
          <w:sz w:val="20"/>
          <w:szCs w:val="20"/>
          <w:u w:val="single"/>
        </w:rPr>
        <w:t>espoke approach</w:t>
      </w:r>
      <w:r>
        <w:rPr>
          <w:sz w:val="20"/>
          <w:szCs w:val="20"/>
        </w:rPr>
        <w:t xml:space="preserve">: Is required for the Knowledge Quarter. </w:t>
      </w:r>
      <w:r w:rsidR="009478ED" w:rsidRPr="00776DFC">
        <w:rPr>
          <w:sz w:val="20"/>
          <w:szCs w:val="20"/>
        </w:rPr>
        <w:t xml:space="preserve"> </w:t>
      </w:r>
      <w:r w:rsidR="00816FA5" w:rsidRPr="00816FA5">
        <w:rPr>
          <w:sz w:val="20"/>
          <w:szCs w:val="20"/>
        </w:rPr>
        <w:t>The strategy acknowledges the requirement for lab space and the importance of this being clustered</w:t>
      </w:r>
      <w:r w:rsidR="003C1CAF">
        <w:rPr>
          <w:sz w:val="20"/>
          <w:szCs w:val="20"/>
        </w:rPr>
        <w:t>, b</w:t>
      </w:r>
      <w:r w:rsidR="00816FA5" w:rsidRPr="00816FA5">
        <w:rPr>
          <w:sz w:val="20"/>
          <w:szCs w:val="20"/>
        </w:rPr>
        <w:t>ut due to the high development and operational costs associated, it would</w:t>
      </w:r>
      <w:r w:rsidR="00816FA5">
        <w:rPr>
          <w:sz w:val="20"/>
          <w:szCs w:val="20"/>
        </w:rPr>
        <w:t xml:space="preserve"> </w:t>
      </w:r>
      <w:r w:rsidR="00FB093C">
        <w:rPr>
          <w:sz w:val="20"/>
          <w:szCs w:val="20"/>
        </w:rPr>
        <w:t xml:space="preserve">be </w:t>
      </w:r>
      <w:r w:rsidR="00816FA5" w:rsidRPr="00816FA5">
        <w:rPr>
          <w:sz w:val="20"/>
          <w:szCs w:val="20"/>
        </w:rPr>
        <w:t xml:space="preserve">helpful to understand how Camden will deliver and manage this as </w:t>
      </w:r>
      <w:r w:rsidR="00FB093C">
        <w:rPr>
          <w:sz w:val="20"/>
          <w:szCs w:val="20"/>
        </w:rPr>
        <w:t xml:space="preserve">they </w:t>
      </w:r>
      <w:r w:rsidR="00816FA5" w:rsidRPr="00816FA5">
        <w:rPr>
          <w:sz w:val="20"/>
          <w:szCs w:val="20"/>
        </w:rPr>
        <w:t xml:space="preserve">potentially will have to be heavily subsided or a partnership with an operator will be required. </w:t>
      </w:r>
      <w:r w:rsidR="00816FA5">
        <w:rPr>
          <w:sz w:val="20"/>
          <w:szCs w:val="20"/>
        </w:rPr>
        <w:br/>
      </w:r>
    </w:p>
    <w:p w14:paraId="50D0AEC1" w14:textId="3D6AFA35" w:rsidR="00776DFC" w:rsidRPr="007A77CA" w:rsidRDefault="00816FA5" w:rsidP="007A77C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A77CA">
        <w:rPr>
          <w:sz w:val="20"/>
          <w:szCs w:val="20"/>
          <w:u w:val="single"/>
        </w:rPr>
        <w:t>Items for inclusion</w:t>
      </w:r>
      <w:r w:rsidRPr="007A77CA">
        <w:rPr>
          <w:sz w:val="20"/>
          <w:szCs w:val="20"/>
        </w:rPr>
        <w:t xml:space="preserve">: It would be helpful </w:t>
      </w:r>
      <w:r w:rsidR="007A77CA" w:rsidRPr="007A77CA">
        <w:rPr>
          <w:sz w:val="20"/>
          <w:szCs w:val="20"/>
        </w:rPr>
        <w:t>if</w:t>
      </w:r>
      <w:r w:rsidR="00BE1BE9">
        <w:rPr>
          <w:sz w:val="20"/>
          <w:szCs w:val="20"/>
        </w:rPr>
        <w:t xml:space="preserve"> </w:t>
      </w:r>
      <w:r w:rsidR="007A77CA" w:rsidRPr="007A77CA">
        <w:rPr>
          <w:sz w:val="20"/>
          <w:szCs w:val="20"/>
        </w:rPr>
        <w:t>the document</w:t>
      </w:r>
      <w:r w:rsidR="00BE1BE9">
        <w:rPr>
          <w:sz w:val="20"/>
          <w:szCs w:val="20"/>
        </w:rPr>
        <w:t xml:space="preserve"> included</w:t>
      </w:r>
      <w:r w:rsidR="007A77CA" w:rsidRPr="007A77CA">
        <w:rPr>
          <w:sz w:val="20"/>
          <w:szCs w:val="20"/>
        </w:rPr>
        <w:t xml:space="preserve"> c</w:t>
      </w:r>
      <w:r w:rsidR="00776DFC" w:rsidRPr="007A77CA">
        <w:rPr>
          <w:sz w:val="20"/>
          <w:szCs w:val="20"/>
        </w:rPr>
        <w:t>learly define</w:t>
      </w:r>
      <w:r w:rsidR="007A77CA" w:rsidRPr="007A77CA">
        <w:rPr>
          <w:sz w:val="20"/>
          <w:szCs w:val="20"/>
        </w:rPr>
        <w:t>d</w:t>
      </w:r>
      <w:r w:rsidR="00776DFC" w:rsidRPr="007A77CA">
        <w:rPr>
          <w:sz w:val="20"/>
          <w:szCs w:val="20"/>
        </w:rPr>
        <w:t xml:space="preserve"> types of</w:t>
      </w:r>
      <w:r w:rsidR="007A77CA" w:rsidRPr="007A77CA">
        <w:rPr>
          <w:sz w:val="20"/>
          <w:szCs w:val="20"/>
        </w:rPr>
        <w:t xml:space="preserve"> affordable workspace </w:t>
      </w:r>
      <w:r w:rsidR="00776DFC" w:rsidRPr="007A77CA">
        <w:rPr>
          <w:sz w:val="20"/>
          <w:szCs w:val="20"/>
        </w:rPr>
        <w:t>Camden will be delivering</w:t>
      </w:r>
      <w:r w:rsidR="007A77CA" w:rsidRPr="007A77CA">
        <w:rPr>
          <w:sz w:val="20"/>
          <w:szCs w:val="20"/>
        </w:rPr>
        <w:t>,</w:t>
      </w:r>
      <w:r w:rsidR="00211F03">
        <w:rPr>
          <w:rFonts w:eastAsia="Times New Roman"/>
          <w:sz w:val="20"/>
          <w:szCs w:val="20"/>
        </w:rPr>
        <w:t xml:space="preserve"> </w:t>
      </w:r>
      <w:r w:rsidR="00776DFC" w:rsidRPr="007A77CA">
        <w:rPr>
          <w:rFonts w:eastAsia="Times New Roman"/>
          <w:sz w:val="20"/>
          <w:szCs w:val="20"/>
        </w:rPr>
        <w:t>where Camden is planning on delivering</w:t>
      </w:r>
      <w:r w:rsidR="007A77CA" w:rsidRPr="007A77CA">
        <w:rPr>
          <w:rFonts w:eastAsia="Times New Roman"/>
          <w:sz w:val="20"/>
          <w:szCs w:val="20"/>
        </w:rPr>
        <w:t xml:space="preserve"> affordable </w:t>
      </w:r>
      <w:proofErr w:type="gramStart"/>
      <w:r w:rsidR="007A77CA" w:rsidRPr="007A77CA">
        <w:rPr>
          <w:rFonts w:eastAsia="Times New Roman"/>
          <w:sz w:val="20"/>
          <w:szCs w:val="20"/>
        </w:rPr>
        <w:t xml:space="preserve">workspace </w:t>
      </w:r>
      <w:r w:rsidR="00211F03">
        <w:rPr>
          <w:rFonts w:eastAsia="Times New Roman"/>
          <w:sz w:val="20"/>
          <w:szCs w:val="20"/>
        </w:rPr>
        <w:t xml:space="preserve"> </w:t>
      </w:r>
      <w:r w:rsidR="00776DFC" w:rsidRPr="007A77CA">
        <w:rPr>
          <w:rFonts w:eastAsia="Times New Roman"/>
          <w:sz w:val="20"/>
          <w:szCs w:val="20"/>
        </w:rPr>
        <w:t>and</w:t>
      </w:r>
      <w:proofErr w:type="gramEnd"/>
      <w:r w:rsidR="00776DFC" w:rsidRPr="007A77CA">
        <w:rPr>
          <w:rFonts w:eastAsia="Times New Roman"/>
          <w:sz w:val="20"/>
          <w:szCs w:val="20"/>
        </w:rPr>
        <w:t xml:space="preserve"> the type within their own estate.</w:t>
      </w:r>
    </w:p>
    <w:p w14:paraId="6FD0D032" w14:textId="77777777" w:rsidR="007A77CA" w:rsidRPr="007A77CA" w:rsidRDefault="007A77CA" w:rsidP="007A77CA">
      <w:pPr>
        <w:pStyle w:val="ListParagraph"/>
        <w:rPr>
          <w:sz w:val="20"/>
          <w:szCs w:val="20"/>
        </w:rPr>
      </w:pPr>
    </w:p>
    <w:p w14:paraId="70CD120E" w14:textId="35C1591B" w:rsidR="00776DFC" w:rsidRDefault="007A77CA" w:rsidP="00776DFC">
      <w:pPr>
        <w:pStyle w:val="xmsolistparagraph"/>
        <w:numPr>
          <w:ilvl w:val="0"/>
          <w:numId w:val="9"/>
        </w:numPr>
        <w:rPr>
          <w:rFonts w:eastAsia="Times New Roman"/>
        </w:rPr>
      </w:pPr>
      <w:r w:rsidRPr="00B83E9D">
        <w:rPr>
          <w:rFonts w:eastAsia="Times New Roman"/>
          <w:u w:val="single"/>
        </w:rPr>
        <w:t>Final thoughts:</w:t>
      </w:r>
      <w:r>
        <w:rPr>
          <w:rFonts w:eastAsia="Times New Roman"/>
        </w:rPr>
        <w:t xml:space="preserve"> </w:t>
      </w:r>
      <w:r w:rsidR="00776DFC" w:rsidRPr="00211F03">
        <w:rPr>
          <w:rFonts w:eastAsia="Times New Roman"/>
          <w:sz w:val="20"/>
          <w:szCs w:val="20"/>
        </w:rPr>
        <w:t xml:space="preserve">What help / incentives will </w:t>
      </w:r>
      <w:r w:rsidR="00061BA8" w:rsidRPr="00211F03">
        <w:rPr>
          <w:rFonts w:eastAsia="Times New Roman"/>
          <w:sz w:val="20"/>
          <w:szCs w:val="20"/>
        </w:rPr>
        <w:t>exist</w:t>
      </w:r>
      <w:r w:rsidR="00776DFC" w:rsidRPr="00211F03">
        <w:rPr>
          <w:rFonts w:eastAsia="Times New Roman"/>
          <w:sz w:val="20"/>
          <w:szCs w:val="20"/>
        </w:rPr>
        <w:t xml:space="preserve"> to encourage SME to grow and move into the private market</w:t>
      </w:r>
      <w:r w:rsidR="00B83E9D" w:rsidRPr="00211F03">
        <w:rPr>
          <w:rFonts w:eastAsia="Times New Roman"/>
          <w:sz w:val="20"/>
          <w:szCs w:val="20"/>
        </w:rPr>
        <w:t xml:space="preserve"> once at scale</w:t>
      </w:r>
      <w:r w:rsidR="00776DFC" w:rsidRPr="00211F03">
        <w:rPr>
          <w:rFonts w:eastAsia="Times New Roman"/>
          <w:sz w:val="20"/>
          <w:szCs w:val="20"/>
        </w:rPr>
        <w:t>?  </w:t>
      </w:r>
    </w:p>
    <w:p w14:paraId="4D79FC68" w14:textId="77777777" w:rsidR="00C5025E" w:rsidRDefault="00C5025E" w:rsidP="00E663A7">
      <w:pPr>
        <w:spacing w:after="0"/>
        <w:ind w:right="0"/>
        <w:jc w:val="both"/>
        <w:rPr>
          <w:rFonts w:cstheme="minorHAnsi"/>
          <w:color w:val="000000"/>
          <w:sz w:val="20"/>
          <w:szCs w:val="20"/>
        </w:rPr>
      </w:pPr>
    </w:p>
    <w:p w14:paraId="163DA3B7" w14:textId="476EFADA" w:rsidR="00A7679A" w:rsidRPr="001F73D4" w:rsidRDefault="00A7679A" w:rsidP="00A7679A">
      <w:pPr>
        <w:spacing w:after="0"/>
        <w:ind w:right="0"/>
        <w:jc w:val="both"/>
        <w:rPr>
          <w:rFonts w:cstheme="minorHAnsi"/>
          <w:color w:val="000000"/>
          <w:sz w:val="20"/>
          <w:szCs w:val="20"/>
        </w:rPr>
      </w:pPr>
      <w:r w:rsidRPr="001F73D4">
        <w:rPr>
          <w:rFonts w:cstheme="minorHAnsi"/>
          <w:color w:val="000000"/>
          <w:sz w:val="20"/>
          <w:szCs w:val="20"/>
        </w:rPr>
        <w:t>-Ends-</w:t>
      </w:r>
    </w:p>
    <w:p w14:paraId="079A55EA" w14:textId="77777777" w:rsidR="00CA6AA0" w:rsidRPr="001F73D4" w:rsidRDefault="00CA6AA0" w:rsidP="00A7679A">
      <w:pPr>
        <w:spacing w:after="0"/>
        <w:ind w:right="0"/>
        <w:jc w:val="both"/>
        <w:rPr>
          <w:rFonts w:cstheme="minorHAnsi"/>
          <w:sz w:val="20"/>
          <w:szCs w:val="20"/>
        </w:rPr>
      </w:pPr>
    </w:p>
    <w:p w14:paraId="331D4D79" w14:textId="534E8960" w:rsidR="00DD6D9F" w:rsidRPr="001F73D4" w:rsidRDefault="00E663A7" w:rsidP="00E663A7">
      <w:pPr>
        <w:spacing w:after="0"/>
        <w:ind w:right="0"/>
        <w:jc w:val="both"/>
        <w:rPr>
          <w:rFonts w:cstheme="minorHAnsi"/>
          <w:color w:val="000000"/>
          <w:sz w:val="20"/>
          <w:szCs w:val="20"/>
        </w:rPr>
      </w:pPr>
      <w:r w:rsidRPr="001F73D4">
        <w:rPr>
          <w:rFonts w:cstheme="minorHAnsi"/>
          <w:color w:val="000000"/>
          <w:sz w:val="20"/>
          <w:szCs w:val="20"/>
        </w:rPr>
        <w:t xml:space="preserve">If you require any additional information or clarification on the above, please do not hesitate to contact </w:t>
      </w:r>
      <w:r w:rsidR="00DD6D9F" w:rsidRPr="001F73D4">
        <w:rPr>
          <w:rFonts w:cstheme="minorHAnsi"/>
          <w:color w:val="000000"/>
          <w:sz w:val="20"/>
          <w:szCs w:val="20"/>
        </w:rPr>
        <w:t>me</w:t>
      </w:r>
      <w:r w:rsidR="00ED6AA3" w:rsidRPr="001F73D4">
        <w:rPr>
          <w:rFonts w:cstheme="minorHAnsi"/>
          <w:color w:val="000000"/>
          <w:sz w:val="20"/>
          <w:szCs w:val="20"/>
        </w:rPr>
        <w:t xml:space="preserve">. </w:t>
      </w:r>
    </w:p>
    <w:p w14:paraId="74861067" w14:textId="77777777" w:rsidR="00E663A7" w:rsidRPr="00DA46BD" w:rsidRDefault="00E663A7" w:rsidP="00E663A7">
      <w:pPr>
        <w:spacing w:after="0"/>
        <w:ind w:right="0"/>
        <w:jc w:val="both"/>
        <w:rPr>
          <w:rFonts w:ascii="Calibri" w:hAnsi="Calibri" w:cs="Calibri"/>
        </w:rPr>
      </w:pPr>
    </w:p>
    <w:p w14:paraId="7F92706F" w14:textId="7C273BEC" w:rsidR="00E663A7" w:rsidRPr="0003023E" w:rsidRDefault="00E663A7" w:rsidP="00E663A7">
      <w:pPr>
        <w:spacing w:after="0"/>
        <w:ind w:right="0"/>
        <w:jc w:val="both"/>
        <w:rPr>
          <w:rFonts w:cstheme="minorHAnsi"/>
          <w:color w:val="000000"/>
          <w:sz w:val="20"/>
          <w:szCs w:val="20"/>
        </w:rPr>
      </w:pPr>
      <w:r w:rsidRPr="0003023E">
        <w:rPr>
          <w:rFonts w:cstheme="minorHAnsi"/>
          <w:sz w:val="20"/>
          <w:szCs w:val="20"/>
        </w:rPr>
        <w:t xml:space="preserve">Yours </w:t>
      </w:r>
      <w:r w:rsidR="006D25C3" w:rsidRPr="0003023E">
        <w:rPr>
          <w:rFonts w:cstheme="minorHAnsi"/>
          <w:sz w:val="20"/>
          <w:szCs w:val="20"/>
        </w:rPr>
        <w:t>sincerely</w:t>
      </w:r>
      <w:r w:rsidR="00FE2F18" w:rsidRPr="0003023E">
        <w:rPr>
          <w:rFonts w:cstheme="minorHAnsi"/>
          <w:sz w:val="20"/>
          <w:szCs w:val="20"/>
        </w:rPr>
        <w:t>,</w:t>
      </w:r>
    </w:p>
    <w:p w14:paraId="55F3BFC1" w14:textId="0832D28F" w:rsidR="002B5620" w:rsidRPr="0003023E" w:rsidRDefault="002B5620" w:rsidP="00E663A7">
      <w:pPr>
        <w:spacing w:after="0" w:line="240" w:lineRule="auto"/>
        <w:ind w:right="0"/>
        <w:jc w:val="both"/>
        <w:rPr>
          <w:rFonts w:cstheme="minorHAnsi"/>
          <w:b/>
          <w:bCs/>
          <w:noProof/>
          <w:sz w:val="20"/>
          <w:szCs w:val="20"/>
          <w:u w:val="single"/>
        </w:rPr>
      </w:pPr>
    </w:p>
    <w:p w14:paraId="03534B64" w14:textId="77777777" w:rsidR="00FE2F18" w:rsidRPr="0003023E" w:rsidRDefault="00FE2F18" w:rsidP="00FE2F18">
      <w:pPr>
        <w:pStyle w:val="Signoffline1"/>
        <w:spacing w:line="240" w:lineRule="auto"/>
        <w:rPr>
          <w:rFonts w:cstheme="minorHAnsi"/>
          <w:sz w:val="20"/>
          <w:szCs w:val="20"/>
        </w:rPr>
      </w:pPr>
    </w:p>
    <w:p w14:paraId="0D90835A" w14:textId="77777777" w:rsidR="001F73D4" w:rsidRPr="0003023E" w:rsidRDefault="001F73D4" w:rsidP="00FE2F18">
      <w:pPr>
        <w:pStyle w:val="Signoffline1"/>
        <w:spacing w:line="240" w:lineRule="auto"/>
        <w:rPr>
          <w:rFonts w:cstheme="minorHAnsi"/>
          <w:sz w:val="20"/>
          <w:szCs w:val="20"/>
        </w:rPr>
      </w:pPr>
    </w:p>
    <w:p w14:paraId="69410789" w14:textId="77777777" w:rsidR="001F73D4" w:rsidRPr="0003023E" w:rsidRDefault="001F73D4" w:rsidP="00FE2F18">
      <w:pPr>
        <w:pStyle w:val="Signoffline1"/>
        <w:spacing w:line="240" w:lineRule="auto"/>
        <w:rPr>
          <w:rFonts w:cstheme="minorHAnsi"/>
          <w:sz w:val="20"/>
          <w:szCs w:val="20"/>
        </w:rPr>
      </w:pPr>
    </w:p>
    <w:p w14:paraId="4DC0C1DB" w14:textId="77777777" w:rsidR="001F73D4" w:rsidRPr="0003023E" w:rsidRDefault="001F73D4" w:rsidP="00FE2F18">
      <w:pPr>
        <w:pStyle w:val="Signoffline1"/>
        <w:spacing w:line="240" w:lineRule="auto"/>
        <w:rPr>
          <w:rFonts w:cstheme="minorHAnsi"/>
          <w:sz w:val="20"/>
          <w:szCs w:val="20"/>
        </w:rPr>
      </w:pPr>
    </w:p>
    <w:p w14:paraId="4C09E412" w14:textId="43F449AE" w:rsidR="00FE2F18" w:rsidRPr="0003023E" w:rsidRDefault="005A7026" w:rsidP="00FE2F18">
      <w:pPr>
        <w:pStyle w:val="Signoffline1"/>
        <w:spacing w:line="240" w:lineRule="auto"/>
        <w:rPr>
          <w:rFonts w:cstheme="minorHAnsi"/>
          <w:sz w:val="20"/>
          <w:szCs w:val="20"/>
        </w:rPr>
      </w:pPr>
      <w:r w:rsidRPr="0003023E">
        <w:rPr>
          <w:rFonts w:cstheme="minorHAnsi"/>
          <w:sz w:val="20"/>
          <w:szCs w:val="20"/>
        </w:rPr>
        <w:br/>
      </w:r>
      <w:r w:rsidR="00FE2F18" w:rsidRPr="0003023E">
        <w:rPr>
          <w:rFonts w:cstheme="minorHAnsi"/>
          <w:sz w:val="20"/>
          <w:szCs w:val="20"/>
        </w:rPr>
        <w:t>Charles Begley</w:t>
      </w:r>
    </w:p>
    <w:p w14:paraId="408D1D22" w14:textId="366B5CC9" w:rsidR="001F73D4" w:rsidRPr="0003023E" w:rsidRDefault="00FE2F18" w:rsidP="00FE2F18">
      <w:pPr>
        <w:pStyle w:val="Signoffline2"/>
        <w:spacing w:after="0" w:line="240" w:lineRule="auto"/>
        <w:rPr>
          <w:rStyle w:val="Hyperlink"/>
          <w:rFonts w:cstheme="minorHAnsi"/>
          <w:b/>
          <w:bCs/>
          <w:noProof/>
          <w:szCs w:val="20"/>
        </w:rPr>
      </w:pPr>
      <w:r w:rsidRPr="0003023E">
        <w:rPr>
          <w:rFonts w:cstheme="minorHAnsi"/>
          <w:szCs w:val="20"/>
        </w:rPr>
        <w:t xml:space="preserve">Chief Executive, </w:t>
      </w:r>
      <w:r w:rsidR="001F73D4" w:rsidRPr="0003023E">
        <w:rPr>
          <w:rFonts w:cstheme="minorHAnsi"/>
          <w:szCs w:val="20"/>
        </w:rPr>
        <w:t>Lo</w:t>
      </w:r>
      <w:r w:rsidR="005A7026" w:rsidRPr="0003023E">
        <w:rPr>
          <w:rFonts w:cstheme="minorHAnsi"/>
          <w:szCs w:val="20"/>
        </w:rPr>
        <w:t>ndon Property Alliance</w:t>
      </w:r>
      <w:r w:rsidR="00DD6D9F" w:rsidRPr="0003023E">
        <w:rPr>
          <w:rFonts w:eastAsia="Calibri" w:cstheme="minorHAnsi"/>
          <w:b/>
          <w:bCs/>
          <w:noProof/>
          <w:color w:val="7F7F7F"/>
          <w:szCs w:val="20"/>
          <w:lang w:eastAsia="en-GB"/>
        </w:rPr>
        <w:br/>
      </w:r>
      <w:r w:rsidR="00DD6D9F" w:rsidRPr="0003023E">
        <w:rPr>
          <w:rFonts w:cstheme="minorHAnsi"/>
          <w:b/>
          <w:bCs/>
          <w:noProof/>
          <w:szCs w:val="20"/>
        </w:rPr>
        <w:t>charles.begley@cwpa.org.</w:t>
      </w:r>
      <w:r w:rsidR="0003023E">
        <w:rPr>
          <w:rFonts w:cstheme="minorHAnsi"/>
          <w:b/>
          <w:bCs/>
          <w:noProof/>
          <w:szCs w:val="20"/>
        </w:rPr>
        <w:t>uk</w:t>
      </w:r>
    </w:p>
    <w:p w14:paraId="1BAB4D9D" w14:textId="15CD322B" w:rsidR="001F73D4" w:rsidRDefault="001F73D4" w:rsidP="00FE2F18">
      <w:pPr>
        <w:pStyle w:val="Signoffline2"/>
        <w:spacing w:after="0" w:line="240" w:lineRule="auto"/>
        <w:rPr>
          <w:rStyle w:val="Hyperlink"/>
          <w:rFonts w:ascii="Arial" w:hAnsi="Arial" w:cs="Arial"/>
          <w:b/>
          <w:bCs/>
          <w:noProof/>
          <w:szCs w:val="20"/>
        </w:rPr>
      </w:pPr>
    </w:p>
    <w:sectPr w:rsidR="001F73D4" w:rsidSect="00E6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0053" w14:textId="77777777" w:rsidR="00193393" w:rsidRDefault="00193393" w:rsidP="00E663A7">
      <w:pPr>
        <w:spacing w:after="0" w:line="240" w:lineRule="auto"/>
      </w:pPr>
      <w:r>
        <w:separator/>
      </w:r>
    </w:p>
  </w:endnote>
  <w:endnote w:type="continuationSeparator" w:id="0">
    <w:p w14:paraId="36240ED6" w14:textId="77777777" w:rsidR="00193393" w:rsidRDefault="00193393" w:rsidP="00E663A7">
      <w:pPr>
        <w:spacing w:after="0" w:line="240" w:lineRule="auto"/>
      </w:pPr>
      <w:r>
        <w:continuationSeparator/>
      </w:r>
    </w:p>
  </w:endnote>
  <w:endnote w:type="continuationNotice" w:id="1">
    <w:p w14:paraId="35580131" w14:textId="77777777" w:rsidR="00193393" w:rsidRDefault="00193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33FE" w14:textId="77777777" w:rsidR="00954323" w:rsidRDefault="00954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A113" w14:textId="77777777" w:rsidR="00E663A7" w:rsidRDefault="00E663A7" w:rsidP="00E663A7">
    <w:pPr>
      <w:widowControl w:val="0"/>
      <w:autoSpaceDE w:val="0"/>
      <w:autoSpaceDN w:val="0"/>
      <w:spacing w:after="0" w:line="240" w:lineRule="auto"/>
      <w:ind w:left="159" w:right="153"/>
      <w:jc w:val="center"/>
      <w:rPr>
        <w:rFonts w:ascii="Arial" w:eastAsia="Calibri"/>
        <w:color w:val="808080"/>
        <w:sz w:val="15"/>
        <w:szCs w:val="15"/>
        <w:lang w:val="en-US" w:bidi="en-US"/>
      </w:rPr>
    </w:pPr>
  </w:p>
  <w:p w14:paraId="1EC54198" w14:textId="77777777" w:rsidR="00E663A7" w:rsidRDefault="00E663A7" w:rsidP="00E663A7">
    <w:pPr>
      <w:widowControl w:val="0"/>
      <w:autoSpaceDE w:val="0"/>
      <w:autoSpaceDN w:val="0"/>
      <w:spacing w:after="0" w:line="240" w:lineRule="auto"/>
      <w:ind w:left="159" w:right="153"/>
      <w:jc w:val="center"/>
      <w:rPr>
        <w:rFonts w:ascii="Arial" w:eastAsia="Calibri"/>
        <w:color w:val="808080"/>
        <w:sz w:val="15"/>
        <w:szCs w:val="15"/>
        <w:lang w:val="en-US" w:bidi="en-US"/>
      </w:rPr>
    </w:pPr>
  </w:p>
  <w:p w14:paraId="38FA5002" w14:textId="21B6791E" w:rsidR="00E663A7" w:rsidRPr="001D3286" w:rsidRDefault="00E663A7" w:rsidP="00A00B76">
    <w:pPr>
      <w:widowControl w:val="0"/>
      <w:autoSpaceDE w:val="0"/>
      <w:autoSpaceDN w:val="0"/>
      <w:spacing w:after="0" w:line="240" w:lineRule="auto"/>
      <w:ind w:left="159" w:right="153"/>
      <w:jc w:val="center"/>
      <w:rPr>
        <w:rFonts w:ascii="Arial" w:eastAsia="Calibri"/>
        <w:color w:val="0462C1"/>
        <w:sz w:val="15"/>
        <w:szCs w:val="15"/>
        <w:u w:val="single" w:color="0462C1"/>
        <w:lang w:val="en-US" w:bidi="en-US"/>
      </w:rPr>
    </w:pPr>
    <w:r w:rsidRPr="001D3286">
      <w:rPr>
        <w:rFonts w:ascii="Arial" w:eastAsia="Calibri"/>
        <w:color w:val="808080"/>
        <w:sz w:val="15"/>
        <w:szCs w:val="15"/>
        <w:lang w:val="en-US" w:bidi="en-US"/>
      </w:rPr>
      <w:t xml:space="preserve">London Property Alliance (CPA &amp; WPA), Office 3.11, The Bloomsbury Building, 10 Bloomsbury Way, Holborn, WC1A 2SL Tel: 020 7630 1782 | </w:t>
    </w:r>
    <w:hyperlink r:id="rId1" w:history="1">
      <w:r w:rsidR="00A00B76" w:rsidRPr="001D3286">
        <w:rPr>
          <w:rStyle w:val="Hyperlink"/>
          <w:rFonts w:ascii="Arial" w:eastAsia="Calibri"/>
          <w:sz w:val="15"/>
          <w:szCs w:val="15"/>
          <w:lang w:val="en-US" w:bidi="en-US"/>
        </w:rPr>
        <w:t>www.londonpropertyalliance.com/</w:t>
      </w:r>
    </w:hyperlink>
    <w:r w:rsidR="00A00B76" w:rsidRPr="001D3286">
      <w:rPr>
        <w:rFonts w:ascii="Arial" w:eastAsia="Calibri"/>
        <w:color w:val="0462C1"/>
        <w:sz w:val="15"/>
        <w:szCs w:val="15"/>
        <w:u w:val="single" w:color="0462C1"/>
        <w:lang w:val="en-US" w:bidi="en-US"/>
      </w:rPr>
      <w:t xml:space="preserve"> </w:t>
    </w:r>
    <w:r w:rsidRPr="001D3286">
      <w:rPr>
        <w:rFonts w:ascii="Arial" w:eastAsia="Calibri"/>
        <w:color w:val="808080"/>
        <w:sz w:val="15"/>
        <w:szCs w:val="15"/>
        <w:lang w:val="en-US" w:bidi="en-US"/>
      </w:rPr>
      <w:t>The City Property Association (CPA) Company Reg 08256281 | VAT Reg 9056407032 and Westminster Property Association (WPA) Company Reg 08251671 | VAT Reg 888310790 are companies limited by guarantee in England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0B5C" w14:textId="77777777" w:rsidR="00954323" w:rsidRDefault="0095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3270" w14:textId="77777777" w:rsidR="00193393" w:rsidRDefault="00193393" w:rsidP="00E663A7">
      <w:pPr>
        <w:spacing w:after="0" w:line="240" w:lineRule="auto"/>
      </w:pPr>
      <w:r>
        <w:separator/>
      </w:r>
    </w:p>
  </w:footnote>
  <w:footnote w:type="continuationSeparator" w:id="0">
    <w:p w14:paraId="69B67EB3" w14:textId="77777777" w:rsidR="00193393" w:rsidRDefault="00193393" w:rsidP="00E663A7">
      <w:pPr>
        <w:spacing w:after="0" w:line="240" w:lineRule="auto"/>
      </w:pPr>
      <w:r>
        <w:continuationSeparator/>
      </w:r>
    </w:p>
  </w:footnote>
  <w:footnote w:type="continuationNotice" w:id="1">
    <w:p w14:paraId="1ADE86C6" w14:textId="77777777" w:rsidR="00193393" w:rsidRDefault="001933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1FF0" w14:textId="77777777" w:rsidR="00954323" w:rsidRDefault="0095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CFDC" w14:textId="660DEC32" w:rsidR="009B1A9D" w:rsidRPr="00445392" w:rsidRDefault="008E49B6" w:rsidP="0070641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sdt>
      <w:sdtPr>
        <w:id w:val="211956131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54123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45392" w:rsidRPr="00445392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4448F93" wp14:editId="686AC084">
          <wp:simplePos x="0" y="0"/>
          <wp:positionH relativeFrom="column">
            <wp:posOffset>1833245</wp:posOffset>
          </wp:positionH>
          <wp:positionV relativeFrom="paragraph">
            <wp:posOffset>-92075</wp:posOffset>
          </wp:positionV>
          <wp:extent cx="1924050" cy="741680"/>
          <wp:effectExtent l="0" t="0" r="0" b="1270"/>
          <wp:wrapTight wrapText="bothSides">
            <wp:wrapPolygon edited="0">
              <wp:start x="0" y="0"/>
              <wp:lineTo x="0" y="21082"/>
              <wp:lineTo x="21386" y="21082"/>
              <wp:lineTo x="21386" y="0"/>
              <wp:lineTo x="0" y="0"/>
            </wp:wrapPolygon>
          </wp:wrapTight>
          <wp:docPr id="5" name="Picture 5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red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978570381"/>
        <w:docPartObj>
          <w:docPartGallery w:val="Page Numbers (Margins)"/>
          <w:docPartUnique/>
        </w:docPartObj>
      </w:sdtPr>
      <w:sdtEndPr/>
      <w:sdtContent>
        <w:r w:rsidR="00A00B76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47CC4D10" wp14:editId="5D6B500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54026" w14:textId="37FDC83C" w:rsidR="00A00B76" w:rsidRPr="007E190B" w:rsidRDefault="00A00B7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</w:pPr>
                              <w:r w:rsidRPr="007E190B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Page</w:t>
                              </w:r>
                              <w:r w:rsidR="007E190B" w:rsidRPr="007E190B">
                                <w:rPr>
                                  <w:rFonts w:asciiTheme="majorHAnsi" w:eastAsiaTheme="majorEastAsia" w:hAnsiTheme="majorHAnsi" w:cstheme="majorBidi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E190B">
                                <w:rPr>
                                  <w:rFonts w:eastAsiaTheme="minorEastAsia" w:cs="Times New Roman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7E190B">
                                <w:rPr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instrText xml:space="preserve"> PAGE    \* MERGEFORMAT </w:instrText>
                              </w:r>
                              <w:r w:rsidRPr="007E190B">
                                <w:rPr>
                                  <w:rFonts w:eastAsiaTheme="minorEastAsia" w:cs="Times New Roman"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7E19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7E19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808080" w:themeColor="background1" w:themeShade="8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CC4D10" id="Rectangle 2" o:spid="_x0000_s1026" style="position:absolute;margin-left:0;margin-top:0;width:40.2pt;height:171.9pt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3B54026" w14:textId="37FDC83C" w:rsidR="00A00B76" w:rsidRPr="007E190B" w:rsidRDefault="00A00B7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22"/>
                            <w:szCs w:val="22"/>
                          </w:rPr>
                        </w:pPr>
                        <w:r w:rsidRPr="007E190B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22"/>
                            <w:szCs w:val="22"/>
                          </w:rPr>
                          <w:t>Page</w:t>
                        </w:r>
                        <w:r w:rsidR="007E190B" w:rsidRPr="007E190B">
                          <w:rPr>
                            <w:rFonts w:asciiTheme="majorHAnsi" w:eastAsiaTheme="majorEastAsia" w:hAnsiTheme="majorHAnsi" w:cstheme="majorBidi"/>
                            <w:color w:val="808080" w:themeColor="background1" w:themeShade="80"/>
                            <w:sz w:val="22"/>
                            <w:szCs w:val="22"/>
                          </w:rPr>
                          <w:t xml:space="preserve"> </w:t>
                        </w:r>
                        <w:r w:rsidRPr="007E190B">
                          <w:rPr>
                            <w:rFonts w:eastAsiaTheme="minorEastAsia" w:cs="Times New Roman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begin"/>
                        </w:r>
                        <w:r w:rsidRPr="007E190B">
                          <w:rPr>
                            <w:color w:val="808080" w:themeColor="background1" w:themeShade="80"/>
                            <w:sz w:val="22"/>
                            <w:szCs w:val="22"/>
                          </w:rPr>
                          <w:instrText xml:space="preserve"> PAGE    \* MERGEFORMAT </w:instrText>
                        </w:r>
                        <w:r w:rsidRPr="007E190B">
                          <w:rPr>
                            <w:rFonts w:eastAsiaTheme="minorEastAsia" w:cs="Times New Roman"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separate"/>
                        </w:r>
                        <w:r w:rsidRPr="007E190B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22"/>
                            <w:szCs w:val="22"/>
                          </w:rPr>
                          <w:t>2</w:t>
                        </w:r>
                        <w:r w:rsidRPr="007E190B">
                          <w:rPr>
                            <w:rFonts w:asciiTheme="majorHAnsi" w:eastAsiaTheme="majorEastAsia" w:hAnsiTheme="majorHAnsi" w:cstheme="majorBidi"/>
                            <w:noProof/>
                            <w:color w:val="808080" w:themeColor="background1" w:themeShade="8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12384A6" w14:textId="22CC4757" w:rsidR="009B1A9D" w:rsidRDefault="009B1A9D" w:rsidP="009B1A9D">
    <w:pPr>
      <w:pStyle w:val="Header"/>
    </w:pPr>
  </w:p>
  <w:p w14:paraId="11D9A6A8" w14:textId="07D4EEE3" w:rsidR="00445392" w:rsidRDefault="00445392" w:rsidP="009B1A9D">
    <w:pPr>
      <w:pStyle w:val="Header"/>
    </w:pPr>
  </w:p>
  <w:p w14:paraId="0EDD275A" w14:textId="77777777" w:rsidR="001D3286" w:rsidRDefault="001D3286" w:rsidP="009B1A9D">
    <w:pPr>
      <w:pStyle w:val="Header"/>
    </w:pPr>
  </w:p>
  <w:p w14:paraId="23FBA9C1" w14:textId="77777777" w:rsidR="00445392" w:rsidRDefault="00445392" w:rsidP="009B1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AA38" w14:textId="77777777" w:rsidR="00954323" w:rsidRDefault="00954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90F"/>
    <w:multiLevelType w:val="multilevel"/>
    <w:tmpl w:val="167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D4D76"/>
    <w:multiLevelType w:val="multilevel"/>
    <w:tmpl w:val="F5C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E1793"/>
    <w:multiLevelType w:val="multilevel"/>
    <w:tmpl w:val="339E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0A10B7"/>
    <w:multiLevelType w:val="hybridMultilevel"/>
    <w:tmpl w:val="0586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6C28"/>
    <w:multiLevelType w:val="hybridMultilevel"/>
    <w:tmpl w:val="BCC4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7C61"/>
    <w:multiLevelType w:val="hybridMultilevel"/>
    <w:tmpl w:val="CFC6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366C9"/>
    <w:multiLevelType w:val="multilevel"/>
    <w:tmpl w:val="E74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F6244A"/>
    <w:multiLevelType w:val="multilevel"/>
    <w:tmpl w:val="D326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534234">
    <w:abstractNumId w:val="0"/>
  </w:num>
  <w:num w:numId="2" w16cid:durableId="538126155">
    <w:abstractNumId w:val="2"/>
  </w:num>
  <w:num w:numId="3" w16cid:durableId="1017346957">
    <w:abstractNumId w:val="1"/>
  </w:num>
  <w:num w:numId="4" w16cid:durableId="811799671">
    <w:abstractNumId w:val="6"/>
  </w:num>
  <w:num w:numId="5" w16cid:durableId="32584486">
    <w:abstractNumId w:val="5"/>
  </w:num>
  <w:num w:numId="6" w16cid:durableId="1962419080">
    <w:abstractNumId w:val="5"/>
  </w:num>
  <w:num w:numId="7" w16cid:durableId="547228481">
    <w:abstractNumId w:val="4"/>
  </w:num>
  <w:num w:numId="8" w16cid:durableId="124351825">
    <w:abstractNumId w:val="3"/>
  </w:num>
  <w:num w:numId="9" w16cid:durableId="1857960350">
    <w:abstractNumId w:val="7"/>
  </w:num>
  <w:num w:numId="10" w16cid:durableId="50366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A7"/>
    <w:rsid w:val="0000214A"/>
    <w:rsid w:val="00002E27"/>
    <w:rsid w:val="00023DDD"/>
    <w:rsid w:val="00026AC7"/>
    <w:rsid w:val="0003023E"/>
    <w:rsid w:val="00042D99"/>
    <w:rsid w:val="00061BA8"/>
    <w:rsid w:val="000D1692"/>
    <w:rsid w:val="000E6700"/>
    <w:rsid w:val="000F439E"/>
    <w:rsid w:val="000F65AB"/>
    <w:rsid w:val="00116BE8"/>
    <w:rsid w:val="00140DE3"/>
    <w:rsid w:val="00147C07"/>
    <w:rsid w:val="00176818"/>
    <w:rsid w:val="00193393"/>
    <w:rsid w:val="001D3286"/>
    <w:rsid w:val="001F73D4"/>
    <w:rsid w:val="00211F03"/>
    <w:rsid w:val="00215B49"/>
    <w:rsid w:val="00281099"/>
    <w:rsid w:val="00281872"/>
    <w:rsid w:val="0029056B"/>
    <w:rsid w:val="002B5620"/>
    <w:rsid w:val="002E3070"/>
    <w:rsid w:val="002F25EB"/>
    <w:rsid w:val="002F2C16"/>
    <w:rsid w:val="003179BE"/>
    <w:rsid w:val="00326183"/>
    <w:rsid w:val="00341423"/>
    <w:rsid w:val="00345497"/>
    <w:rsid w:val="003533C8"/>
    <w:rsid w:val="00361929"/>
    <w:rsid w:val="00376A87"/>
    <w:rsid w:val="003900C1"/>
    <w:rsid w:val="003B395C"/>
    <w:rsid w:val="003C024E"/>
    <w:rsid w:val="003C1CAF"/>
    <w:rsid w:val="003C5EC1"/>
    <w:rsid w:val="003D7C5D"/>
    <w:rsid w:val="00406FA5"/>
    <w:rsid w:val="00407F55"/>
    <w:rsid w:val="004363E6"/>
    <w:rsid w:val="00445392"/>
    <w:rsid w:val="004534A3"/>
    <w:rsid w:val="0046674D"/>
    <w:rsid w:val="00480B71"/>
    <w:rsid w:val="00497C2A"/>
    <w:rsid w:val="004A1453"/>
    <w:rsid w:val="004D16A5"/>
    <w:rsid w:val="004D1DA1"/>
    <w:rsid w:val="004F0C53"/>
    <w:rsid w:val="005039EA"/>
    <w:rsid w:val="0051504D"/>
    <w:rsid w:val="00546973"/>
    <w:rsid w:val="005632AE"/>
    <w:rsid w:val="00565AC4"/>
    <w:rsid w:val="00595E69"/>
    <w:rsid w:val="005A071C"/>
    <w:rsid w:val="005A7026"/>
    <w:rsid w:val="005B017B"/>
    <w:rsid w:val="005B7881"/>
    <w:rsid w:val="005C1876"/>
    <w:rsid w:val="005C2F3D"/>
    <w:rsid w:val="005E334D"/>
    <w:rsid w:val="00697759"/>
    <w:rsid w:val="006D25C3"/>
    <w:rsid w:val="006D6938"/>
    <w:rsid w:val="006E5F2E"/>
    <w:rsid w:val="00704BD0"/>
    <w:rsid w:val="00706415"/>
    <w:rsid w:val="00770449"/>
    <w:rsid w:val="007761E9"/>
    <w:rsid w:val="00776DFC"/>
    <w:rsid w:val="007A77CA"/>
    <w:rsid w:val="007A79B7"/>
    <w:rsid w:val="007B7B65"/>
    <w:rsid w:val="007C1797"/>
    <w:rsid w:val="007D297C"/>
    <w:rsid w:val="007E190B"/>
    <w:rsid w:val="007E3257"/>
    <w:rsid w:val="00816FA5"/>
    <w:rsid w:val="0087003F"/>
    <w:rsid w:val="008C7AB7"/>
    <w:rsid w:val="008D0F43"/>
    <w:rsid w:val="008E45CB"/>
    <w:rsid w:val="008E49B6"/>
    <w:rsid w:val="008F5430"/>
    <w:rsid w:val="009032F3"/>
    <w:rsid w:val="009456E9"/>
    <w:rsid w:val="009478ED"/>
    <w:rsid w:val="00954323"/>
    <w:rsid w:val="00954E91"/>
    <w:rsid w:val="009705E3"/>
    <w:rsid w:val="00977C2D"/>
    <w:rsid w:val="009B1A9D"/>
    <w:rsid w:val="009D3532"/>
    <w:rsid w:val="009E07DA"/>
    <w:rsid w:val="009E5631"/>
    <w:rsid w:val="00A00B76"/>
    <w:rsid w:val="00A45C9D"/>
    <w:rsid w:val="00A672D0"/>
    <w:rsid w:val="00A7679A"/>
    <w:rsid w:val="00B15690"/>
    <w:rsid w:val="00B21BB0"/>
    <w:rsid w:val="00B228C0"/>
    <w:rsid w:val="00B458E3"/>
    <w:rsid w:val="00B45ED2"/>
    <w:rsid w:val="00B5157D"/>
    <w:rsid w:val="00B6698B"/>
    <w:rsid w:val="00B83E9D"/>
    <w:rsid w:val="00BA198B"/>
    <w:rsid w:val="00BA1CF3"/>
    <w:rsid w:val="00BE1BE9"/>
    <w:rsid w:val="00C15BFD"/>
    <w:rsid w:val="00C5025E"/>
    <w:rsid w:val="00C6696D"/>
    <w:rsid w:val="00CA6AA0"/>
    <w:rsid w:val="00CC2241"/>
    <w:rsid w:val="00CD5F64"/>
    <w:rsid w:val="00CE1BCC"/>
    <w:rsid w:val="00CE2AA6"/>
    <w:rsid w:val="00CF01DD"/>
    <w:rsid w:val="00CF2145"/>
    <w:rsid w:val="00CF697C"/>
    <w:rsid w:val="00D100D2"/>
    <w:rsid w:val="00D17491"/>
    <w:rsid w:val="00D334FD"/>
    <w:rsid w:val="00D6131A"/>
    <w:rsid w:val="00D7720D"/>
    <w:rsid w:val="00D941DD"/>
    <w:rsid w:val="00D97DC7"/>
    <w:rsid w:val="00DA46BD"/>
    <w:rsid w:val="00DD6D9F"/>
    <w:rsid w:val="00DE425B"/>
    <w:rsid w:val="00DF7D87"/>
    <w:rsid w:val="00E16D4D"/>
    <w:rsid w:val="00E408B6"/>
    <w:rsid w:val="00E663A7"/>
    <w:rsid w:val="00E7402F"/>
    <w:rsid w:val="00E83680"/>
    <w:rsid w:val="00EC48CC"/>
    <w:rsid w:val="00ED6AA3"/>
    <w:rsid w:val="00EF52A9"/>
    <w:rsid w:val="00F02EDF"/>
    <w:rsid w:val="00F15C32"/>
    <w:rsid w:val="00F209C1"/>
    <w:rsid w:val="00F245D5"/>
    <w:rsid w:val="00F30FEC"/>
    <w:rsid w:val="00F507B3"/>
    <w:rsid w:val="00FA19B4"/>
    <w:rsid w:val="00FB093C"/>
    <w:rsid w:val="00FB4845"/>
    <w:rsid w:val="00FE2F18"/>
    <w:rsid w:val="2F0151E4"/>
    <w:rsid w:val="3F52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D10A1"/>
  <w15:chartTrackingRefBased/>
  <w15:docId w15:val="{9970AF6A-E6A2-4B63-ABF0-30CE6441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3A7"/>
    <w:pPr>
      <w:tabs>
        <w:tab w:val="left" w:pos="284"/>
      </w:tabs>
      <w:spacing w:after="240" w:line="240" w:lineRule="exact"/>
      <w:ind w:right="822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3A7"/>
    <w:pPr>
      <w:keepNext/>
      <w:keepLines/>
      <w:spacing w:line="36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3A7"/>
    <w:pPr>
      <w:tabs>
        <w:tab w:val="clear" w:pos="284"/>
        <w:tab w:val="center" w:pos="4513"/>
        <w:tab w:val="right" w:pos="9026"/>
      </w:tabs>
      <w:spacing w:after="0" w:line="240" w:lineRule="auto"/>
      <w:ind w:right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63A7"/>
  </w:style>
  <w:style w:type="paragraph" w:styleId="Footer">
    <w:name w:val="footer"/>
    <w:basedOn w:val="Normal"/>
    <w:link w:val="FooterChar"/>
    <w:uiPriority w:val="99"/>
    <w:unhideWhenUsed/>
    <w:rsid w:val="00E663A7"/>
    <w:pPr>
      <w:tabs>
        <w:tab w:val="clear" w:pos="284"/>
        <w:tab w:val="center" w:pos="4513"/>
        <w:tab w:val="right" w:pos="9026"/>
      </w:tabs>
      <w:spacing w:after="0" w:line="240" w:lineRule="auto"/>
      <w:ind w:righ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63A7"/>
  </w:style>
  <w:style w:type="character" w:customStyle="1" w:styleId="Heading1Char">
    <w:name w:val="Heading 1 Char"/>
    <w:basedOn w:val="DefaultParagraphFont"/>
    <w:link w:val="Heading1"/>
    <w:uiPriority w:val="9"/>
    <w:rsid w:val="00E66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E663A7"/>
    <w:pPr>
      <w:spacing w:after="0"/>
    </w:pPr>
  </w:style>
  <w:style w:type="paragraph" w:customStyle="1" w:styleId="Signoffline1">
    <w:name w:val="Sign off line 1"/>
    <w:basedOn w:val="Normal"/>
    <w:uiPriority w:val="3"/>
    <w:qFormat/>
    <w:rsid w:val="00E663A7"/>
    <w:pPr>
      <w:spacing w:after="0"/>
    </w:pPr>
    <w:rPr>
      <w:b/>
    </w:rPr>
  </w:style>
  <w:style w:type="paragraph" w:customStyle="1" w:styleId="Signoffline3">
    <w:name w:val="Sign off line 3"/>
    <w:basedOn w:val="Normal"/>
    <w:uiPriority w:val="3"/>
    <w:qFormat/>
    <w:rsid w:val="00E663A7"/>
    <w:pPr>
      <w:spacing w:after="0" w:line="200" w:lineRule="exact"/>
    </w:pPr>
    <w:rPr>
      <w:sz w:val="18"/>
    </w:rPr>
  </w:style>
  <w:style w:type="table" w:styleId="TableGrid">
    <w:name w:val="Table Grid"/>
    <w:basedOn w:val="TableNormal"/>
    <w:rsid w:val="00E663A7"/>
    <w:pPr>
      <w:spacing w:line="260" w:lineRule="exact"/>
    </w:pPr>
    <w:rPr>
      <w:sz w:val="22"/>
      <w:szCs w:val="22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57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66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3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B65"/>
    <w:rPr>
      <w:sz w:val="22"/>
      <w:szCs w:val="22"/>
    </w:rPr>
  </w:style>
  <w:style w:type="paragraph" w:customStyle="1" w:styleId="Signoffline2">
    <w:name w:val="Sign off line 2"/>
    <w:basedOn w:val="Normal"/>
    <w:uiPriority w:val="3"/>
    <w:qFormat/>
    <w:rsid w:val="00FE2F18"/>
    <w:rPr>
      <w:sz w:val="20"/>
    </w:rPr>
  </w:style>
  <w:style w:type="paragraph" w:customStyle="1" w:styleId="xmsonormal">
    <w:name w:val="x_msonormal"/>
    <w:basedOn w:val="Normal"/>
    <w:rsid w:val="003D7C5D"/>
    <w:pPr>
      <w:tabs>
        <w:tab w:val="clear" w:pos="284"/>
      </w:tabs>
      <w:spacing w:after="0" w:line="240" w:lineRule="auto"/>
      <w:ind w:right="0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3D7C5D"/>
    <w:pPr>
      <w:tabs>
        <w:tab w:val="clear" w:pos="284"/>
      </w:tabs>
      <w:spacing w:after="0" w:line="240" w:lineRule="auto"/>
      <w:ind w:left="720" w:right="0"/>
    </w:pPr>
    <w:rPr>
      <w:rFonts w:ascii="Calibri" w:hAnsi="Calibri" w:cs="Calibri"/>
      <w:lang w:eastAsia="en-GB"/>
    </w:rPr>
  </w:style>
  <w:style w:type="paragraph" w:customStyle="1" w:styleId="xxmsolistparagraph">
    <w:name w:val="x_xmsolistparagraph"/>
    <w:basedOn w:val="Normal"/>
    <w:rsid w:val="00DE425B"/>
    <w:pPr>
      <w:tabs>
        <w:tab w:val="clear" w:pos="284"/>
      </w:tabs>
      <w:spacing w:after="0" w:line="240" w:lineRule="auto"/>
      <w:ind w:left="720" w:right="0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Quod Section Heading 1 Char,list 2 Char"/>
    <w:basedOn w:val="DefaultParagraphFont"/>
    <w:link w:val="ListParagraph"/>
    <w:uiPriority w:val="34"/>
    <w:locked/>
    <w:rsid w:val="00C5025E"/>
    <w:rPr>
      <w:rFonts w:ascii="Calibri" w:hAnsi="Calibri" w:cs="Calibri"/>
    </w:rPr>
  </w:style>
  <w:style w:type="paragraph" w:styleId="ListParagraph">
    <w:name w:val="List Paragraph"/>
    <w:aliases w:val="Quod Section Heading 1,list 2"/>
    <w:basedOn w:val="Normal"/>
    <w:link w:val="ListParagraphChar"/>
    <w:uiPriority w:val="34"/>
    <w:qFormat/>
    <w:rsid w:val="00C5025E"/>
    <w:pPr>
      <w:tabs>
        <w:tab w:val="clear" w:pos="284"/>
      </w:tabs>
      <w:spacing w:after="0" w:line="240" w:lineRule="auto"/>
      <w:ind w:left="720" w:right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trick.jones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ndonpropertyallianc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A2313900A404C87E236D0B32167E0" ma:contentTypeVersion="15" ma:contentTypeDescription="Create a new document." ma:contentTypeScope="" ma:versionID="16224c4e4a1de0b5f753123e6f853c4a">
  <xsd:schema xmlns:xsd="http://www.w3.org/2001/XMLSchema" xmlns:xs="http://www.w3.org/2001/XMLSchema" xmlns:p="http://schemas.microsoft.com/office/2006/metadata/properties" xmlns:ns2="53e9ba92-33a9-4f6f-956e-172c0626d2d7" xmlns:ns3="1919d2a6-1009-4b23-a1a9-276b8634c52d" xmlns:ns4="f62de0e2-6154-4148-afc2-a19e24fb2cf6" targetNamespace="http://schemas.microsoft.com/office/2006/metadata/properties" ma:root="true" ma:fieldsID="c0720f8e33a0ab92e773b0385b5c3255" ns2:_="" ns3:_="" ns4:_="">
    <xsd:import namespace="53e9ba92-33a9-4f6f-956e-172c0626d2d7"/>
    <xsd:import namespace="1919d2a6-1009-4b23-a1a9-276b8634c52d"/>
    <xsd:import namespace="f62de0e2-6154-4148-afc2-a19e24fb2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ba92-33a9-4f6f-956e-172c0626d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242407-27f4-461f-aefb-75815050a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9d2a6-1009-4b23-a1a9-276b8634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e0e2-6154-4148-afc2-a19e24fb2c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5c11cf-be6f-448f-92e9-a8b1ed2a0d9b}" ma:internalName="TaxCatchAll" ma:showField="CatchAllData" ma:web="f62de0e2-6154-4148-afc2-a19e24fb2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de0e2-6154-4148-afc2-a19e24fb2cf6" xsi:nil="true"/>
    <lcf76f155ced4ddcb4097134ff3c332f xmlns="53e9ba92-33a9-4f6f-956e-172c0626d2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ADD91-D59D-4A12-B63A-80FF40B1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9ba92-33a9-4f6f-956e-172c0626d2d7"/>
    <ds:schemaRef ds:uri="1919d2a6-1009-4b23-a1a9-276b8634c52d"/>
    <ds:schemaRef ds:uri="f62de0e2-6154-4148-afc2-a19e24fb2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4923D-6E18-4337-84A2-3869DA430370}">
  <ds:schemaRefs>
    <ds:schemaRef ds:uri="f62de0e2-6154-4148-afc2-a19e24fb2cf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919d2a6-1009-4b23-a1a9-276b8634c52d"/>
    <ds:schemaRef ds:uri="53e9ba92-33a9-4f6f-956e-172c0626d2d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2170F7-88D5-45D0-B138-86989DD49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Chan</dc:creator>
  <cp:keywords/>
  <dc:description/>
  <cp:lastModifiedBy>Andrea Williams</cp:lastModifiedBy>
  <cp:revision>2</cp:revision>
  <cp:lastPrinted>2023-01-13T21:04:00Z</cp:lastPrinted>
  <dcterms:created xsi:type="dcterms:W3CDTF">2024-01-18T13:54:00Z</dcterms:created>
  <dcterms:modified xsi:type="dcterms:W3CDTF">2024-01-18T13:54:00Z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0x010100B2DA2313900A404C87E236D0B32167E0</vt:lpwstr>
  </property>
  <property fmtid="{D5CDD505-2E9C-101B-9397-08002B2CF9AE}" pid="3" name="MSIP_Label_818d61c5-93d1-4091-b01b-ac48f4008754_Enabled">
    <vt:lpwstr>true</vt:lpwstr>
  </property>
  <property fmtid="{D5CDD505-2E9C-101B-9397-08002B2CF9AE}" pid="4" name="MSIP_Label_818d61c5-93d1-4091-b01b-ac48f4008754_SetDate">
    <vt:lpwstr>2023-01-13T10:26:13Z</vt:lpwstr>
  </property>
  <property fmtid="{D5CDD505-2E9C-101B-9397-08002B2CF9AE}" pid="5" name="MSIP_Label_818d61c5-93d1-4091-b01b-ac48f4008754_Method">
    <vt:lpwstr>Standard</vt:lpwstr>
  </property>
  <property fmtid="{D5CDD505-2E9C-101B-9397-08002B2CF9AE}" pid="6" name="MSIP_Label_818d61c5-93d1-4091-b01b-ac48f4008754_Name">
    <vt:lpwstr>818d61c5-93d1-4091-b01b-ac48f4008754</vt:lpwstr>
  </property>
  <property fmtid="{D5CDD505-2E9C-101B-9397-08002B2CF9AE}" pid="7" name="MSIP_Label_818d61c5-93d1-4091-b01b-ac48f4008754_SiteId">
    <vt:lpwstr>e30a82f4-3fdd-4882-820f-d2b6cfa037b5</vt:lpwstr>
  </property>
  <property fmtid="{D5CDD505-2E9C-101B-9397-08002B2CF9AE}" pid="8" name="MSIP_Label_818d61c5-93d1-4091-b01b-ac48f4008754_ActionId">
    <vt:lpwstr>983b14c0-d74c-4912-b7b3-07794f17b41a</vt:lpwstr>
  </property>
  <property fmtid="{D5CDD505-2E9C-101B-9397-08002B2CF9AE}" pid="9" name="MSIP_Label_818d61c5-93d1-4091-b01b-ac48f4008754_ContentBits">
    <vt:lpwstr>0</vt:lpwstr>
  </property>
</Properties>
</file>